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82C1F" w:rsidRPr="00C82C1F" w:rsidTr="00C82C1F">
        <w:trPr>
          <w:jc w:val="center"/>
        </w:trPr>
        <w:tc>
          <w:tcPr>
            <w:tcW w:w="9212" w:type="dxa"/>
          </w:tcPr>
          <w:p w:rsidR="00C82C1F" w:rsidRDefault="00C82C1F" w:rsidP="00C82C1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82C1F" w:rsidRPr="00C82C1F" w:rsidRDefault="00C82C1F" w:rsidP="00C82C1F">
            <w:pPr>
              <w:jc w:val="center"/>
              <w:rPr>
                <w:b/>
                <w:sz w:val="24"/>
              </w:rPr>
            </w:pPr>
            <w:r w:rsidRPr="00C82C1F">
              <w:rPr>
                <w:b/>
                <w:sz w:val="24"/>
              </w:rPr>
              <w:t>ACADEMIE DE TOULOUSE</w:t>
            </w:r>
          </w:p>
          <w:p w:rsidR="00C82C1F" w:rsidRPr="00C82C1F" w:rsidRDefault="00C82C1F" w:rsidP="00C82C1F">
            <w:pPr>
              <w:jc w:val="center"/>
              <w:rPr>
                <w:b/>
                <w:sz w:val="24"/>
              </w:rPr>
            </w:pPr>
          </w:p>
          <w:p w:rsidR="00C82C1F" w:rsidRPr="00C82C1F" w:rsidRDefault="00C82C1F" w:rsidP="00C82C1F">
            <w:pPr>
              <w:jc w:val="center"/>
              <w:rPr>
                <w:b/>
                <w:sz w:val="24"/>
              </w:rPr>
            </w:pPr>
            <w:r w:rsidRPr="00C82C1F">
              <w:rPr>
                <w:b/>
                <w:sz w:val="24"/>
              </w:rPr>
              <w:t>FORMATION INTER DISCILINAIRE DES PROFESSEURS PLP ET PLC</w:t>
            </w:r>
          </w:p>
          <w:p w:rsidR="00C82C1F" w:rsidRPr="00C82C1F" w:rsidRDefault="00C82C1F" w:rsidP="00C82C1F">
            <w:pPr>
              <w:jc w:val="center"/>
              <w:rPr>
                <w:b/>
                <w:sz w:val="24"/>
              </w:rPr>
            </w:pPr>
          </w:p>
          <w:p w:rsidR="00C82C1F" w:rsidRPr="00C82C1F" w:rsidRDefault="00C82C1F" w:rsidP="00C82C1F">
            <w:pPr>
              <w:jc w:val="center"/>
              <w:rPr>
                <w:b/>
                <w:sz w:val="24"/>
              </w:rPr>
            </w:pPr>
            <w:r w:rsidRPr="00C82C1F">
              <w:rPr>
                <w:b/>
                <w:sz w:val="24"/>
              </w:rPr>
              <w:t>MERCREDI 10 JANVIER – LYCEE PROFESSIONNEL RENEE BONNET</w:t>
            </w:r>
          </w:p>
          <w:p w:rsidR="00C82C1F" w:rsidRPr="00C82C1F" w:rsidRDefault="00C82C1F" w:rsidP="00C82C1F">
            <w:pPr>
              <w:jc w:val="center"/>
              <w:rPr>
                <w:b/>
              </w:rPr>
            </w:pPr>
          </w:p>
        </w:tc>
      </w:tr>
    </w:tbl>
    <w:p w:rsidR="00B5532B" w:rsidRDefault="006E7203"/>
    <w:p w:rsidR="00C82C1F" w:rsidRPr="00C82C1F" w:rsidRDefault="00C82C1F">
      <w:pPr>
        <w:rPr>
          <w:b/>
        </w:rPr>
      </w:pPr>
      <w:r w:rsidRPr="00C82C1F">
        <w:rPr>
          <w:b/>
        </w:rPr>
        <w:t>ATELIER N°1 – THEME PRISE DE NOTES</w:t>
      </w:r>
    </w:p>
    <w:p w:rsidR="00C82C1F" w:rsidRDefault="00C82C1F" w:rsidP="00C82C1F">
      <w:pPr>
        <w:jc w:val="both"/>
        <w:rPr>
          <w:b/>
        </w:rPr>
      </w:pPr>
      <w:r>
        <w:t xml:space="preserve">Dans un premier temps, nous avons partagé une réflexion autour de ce thème : </w:t>
      </w:r>
      <w:r w:rsidRPr="00C82C1F">
        <w:rPr>
          <w:b/>
        </w:rPr>
        <w:t>la prise de notes est-elle une priorité pour les enseignants ? Tous les élèves ont-ils la capacité de prendre des notes</w:t>
      </w:r>
      <w:r w:rsidR="00E6569D">
        <w:rPr>
          <w:b/>
        </w:rPr>
        <w:t>, c’est-à-dire d’écouter, de comprendre et d’écrire en même temps</w:t>
      </w:r>
      <w:r w:rsidRPr="00C82C1F">
        <w:rPr>
          <w:b/>
        </w:rPr>
        <w:t xml:space="preserve"> ? </w:t>
      </w:r>
    </w:p>
    <w:p w:rsidR="00C82C1F" w:rsidRDefault="00C82C1F" w:rsidP="00C82C1F">
      <w:pPr>
        <w:jc w:val="both"/>
      </w:pPr>
      <w:r w:rsidRPr="00C82C1F">
        <w:t xml:space="preserve">Au vu </w:t>
      </w:r>
      <w:r>
        <w:t>de l’hétérogénéité des élèves en seconde, nous pensons que la prise de note doit plus particulièrement être travaillée</w:t>
      </w:r>
      <w:r w:rsidR="00E6569D">
        <w:t xml:space="preserve"> </w:t>
      </w:r>
      <w:r>
        <w:t xml:space="preserve">pour les élèves qui envisagent des poursuites d’études en BTS. C’est pourquoi, nous proposons </w:t>
      </w:r>
      <w:r w:rsidR="00E6569D">
        <w:t xml:space="preserve">des </w:t>
      </w:r>
      <w:r w:rsidR="00BE67C5">
        <w:t xml:space="preserve">pratiques facilitant la prise de notes, plus générales en seconde, qui seront approfondies en classe de première et terminale, selon les besoins des élèves et leurs futures poursuites d’étude.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6569D" w:rsidTr="00E6569D">
        <w:tc>
          <w:tcPr>
            <w:tcW w:w="9212" w:type="dxa"/>
            <w:gridSpan w:val="2"/>
            <w:shd w:val="clear" w:color="auto" w:fill="F2F2F2" w:themeFill="background1" w:themeFillShade="F2"/>
          </w:tcPr>
          <w:p w:rsidR="00E6569D" w:rsidRPr="00E6569D" w:rsidRDefault="00E6569D" w:rsidP="00E6569D">
            <w:pPr>
              <w:spacing w:after="120"/>
              <w:jc w:val="center"/>
              <w:rPr>
                <w:b/>
                <w:sz w:val="24"/>
              </w:rPr>
            </w:pPr>
            <w:r w:rsidRPr="00E6569D">
              <w:rPr>
                <w:b/>
                <w:sz w:val="24"/>
              </w:rPr>
              <w:t>EN SECONDE</w:t>
            </w:r>
          </w:p>
        </w:tc>
      </w:tr>
      <w:tr w:rsidR="00C82C1F" w:rsidTr="00C82C1F">
        <w:tc>
          <w:tcPr>
            <w:tcW w:w="1668" w:type="dxa"/>
          </w:tcPr>
          <w:p w:rsidR="00E6569D" w:rsidRDefault="00E6569D" w:rsidP="00E6569D">
            <w:pPr>
              <w:jc w:val="center"/>
              <w:rPr>
                <w:b/>
              </w:rPr>
            </w:pPr>
          </w:p>
          <w:p w:rsidR="00BE67C5" w:rsidRDefault="00BE67C5" w:rsidP="00E6569D">
            <w:pPr>
              <w:jc w:val="center"/>
              <w:rPr>
                <w:b/>
              </w:rPr>
            </w:pPr>
          </w:p>
          <w:p w:rsidR="00E6569D" w:rsidRPr="00E6569D" w:rsidRDefault="00E6569D" w:rsidP="00E6569D">
            <w:pPr>
              <w:jc w:val="center"/>
              <w:rPr>
                <w:b/>
              </w:rPr>
            </w:pPr>
            <w:r>
              <w:rPr>
                <w:b/>
              </w:rPr>
              <w:t>Lors des séances d’AP</w:t>
            </w:r>
          </w:p>
        </w:tc>
        <w:tc>
          <w:tcPr>
            <w:tcW w:w="7544" w:type="dxa"/>
          </w:tcPr>
          <w:p w:rsidR="00E6569D" w:rsidRDefault="00E6569D" w:rsidP="00E6569D">
            <w:pPr>
              <w:spacing w:after="120"/>
              <w:jc w:val="both"/>
            </w:pPr>
          </w:p>
          <w:p w:rsidR="00C82C1F" w:rsidRDefault="00C82C1F" w:rsidP="00E6569D">
            <w:pPr>
              <w:spacing w:after="120"/>
              <w:jc w:val="both"/>
            </w:pPr>
            <w:r>
              <w:t xml:space="preserve">- Donner aux élèves une </w:t>
            </w:r>
            <w:r w:rsidRPr="00C82C1F">
              <w:rPr>
                <w:b/>
              </w:rPr>
              <w:t>liste d’abréviations et de symboles à utiliser durant la prise de notes</w:t>
            </w:r>
            <w:r>
              <w:t xml:space="preserve">. L’enseignant devra préciser qu’il s’agit d’un moyen de gagner en rapidité </w:t>
            </w:r>
            <w:r w:rsidR="00E6569D">
              <w:t>sur une prise de notes personnelle</w:t>
            </w:r>
            <w:r>
              <w:t xml:space="preserve"> et en aucun cas d’une norme à utiliser dans les devoirs ou les écrits professionnels par exemple. Cette liste pourra être complétée par les élèves avec les abréviations et symboles qu’ils utilisent déjà.</w:t>
            </w:r>
          </w:p>
          <w:p w:rsidR="00C82C1F" w:rsidRDefault="00C82C1F" w:rsidP="00E6569D">
            <w:pPr>
              <w:spacing w:after="120"/>
              <w:jc w:val="both"/>
            </w:pPr>
            <w:r>
              <w:t>-</w:t>
            </w:r>
            <w:r w:rsidR="00E6569D">
              <w:t xml:space="preserve"> Réaliser des exercices sur les </w:t>
            </w:r>
            <w:r w:rsidR="00E6569D" w:rsidRPr="00E6569D">
              <w:rPr>
                <w:b/>
              </w:rPr>
              <w:t>synonymes</w:t>
            </w:r>
            <w:r w:rsidR="00E6569D">
              <w:t xml:space="preserve"> où les élèves</w:t>
            </w:r>
            <w:r>
              <w:t xml:space="preserve"> </w:t>
            </w:r>
            <w:r w:rsidR="00E6569D">
              <w:t>pourront s’approprier des mots plus simples. L’enseignant devra préciser que si le discours peut faire l’objet de modifications, le vocabulaire technique</w:t>
            </w:r>
            <w:r w:rsidR="00A13CCE">
              <w:t xml:space="preserve"> lui,</w:t>
            </w:r>
            <w:r w:rsidR="00E6569D">
              <w:t xml:space="preserve"> doit s’acquérir (exemples : ventricule en biologie, note de service en méthodologie…).</w:t>
            </w:r>
          </w:p>
          <w:p w:rsidR="00BE67C5" w:rsidRDefault="00E6569D" w:rsidP="00E6569D">
            <w:pPr>
              <w:spacing w:after="120"/>
              <w:jc w:val="both"/>
            </w:pPr>
            <w:r>
              <w:t xml:space="preserve">- </w:t>
            </w:r>
            <w:r w:rsidR="00BE67C5">
              <w:t>Réaliser</w:t>
            </w:r>
            <w:r>
              <w:t xml:space="preserve"> des </w:t>
            </w:r>
            <w:r w:rsidRPr="00E6569D">
              <w:rPr>
                <w:b/>
              </w:rPr>
              <w:t>exercices pour repérer l’essentiel</w:t>
            </w:r>
            <w:r>
              <w:t xml:space="preserve">, comme lors d’une prise de notes. </w:t>
            </w:r>
            <w:r w:rsidR="00A13CCE">
              <w:t>Cela peut être, à partir :</w:t>
            </w:r>
          </w:p>
          <w:p w:rsidR="00E6569D" w:rsidRDefault="00A13CCE" w:rsidP="00E6569D">
            <w:pPr>
              <w:spacing w:after="120"/>
              <w:jc w:val="both"/>
            </w:pPr>
            <w:r>
              <w:t xml:space="preserve">* </w:t>
            </w:r>
            <w:r w:rsidR="00E6569D" w:rsidRPr="00A13CCE">
              <w:rPr>
                <w:b/>
              </w:rPr>
              <w:t>d’une vidéo, d’une image, d’un enregistrement audio</w:t>
            </w:r>
            <w:r w:rsidR="00E6569D">
              <w:t>,</w:t>
            </w:r>
            <w:r>
              <w:t xml:space="preserve"> où l’on</w:t>
            </w:r>
            <w:r w:rsidR="00E6569D">
              <w:t xml:space="preserve"> demander</w:t>
            </w:r>
            <w:r>
              <w:t>ait</w:t>
            </w:r>
            <w:r w:rsidR="00E6569D">
              <w:t xml:space="preserve"> aux élèves de retranscrire l’essentiel : </w:t>
            </w:r>
            <w:r w:rsidR="00E6569D" w:rsidRPr="00A13CCE">
              <w:rPr>
                <w:b/>
                <w:i/>
              </w:rPr>
              <w:t>que retient-on ? qu’est ce qui est secondaire ?</w:t>
            </w:r>
          </w:p>
          <w:p w:rsidR="00E6569D" w:rsidRDefault="00A13CCE" w:rsidP="00A13CCE">
            <w:pPr>
              <w:spacing w:after="120"/>
              <w:jc w:val="both"/>
            </w:pPr>
            <w:r>
              <w:t xml:space="preserve">* </w:t>
            </w:r>
            <w:r w:rsidR="006516FC" w:rsidRPr="00A13CCE">
              <w:rPr>
                <w:b/>
              </w:rPr>
              <w:t>d’un texte</w:t>
            </w:r>
            <w:r>
              <w:t xml:space="preserve">, où l’on demanderait aux élèves de surligner ce qui est important et de rayer ce qui est secondaire, car les élèves ont souvent tendance à tout surligner dans les documents.  </w:t>
            </w:r>
            <w:r w:rsidR="006516FC">
              <w:t xml:space="preserve"> </w:t>
            </w:r>
          </w:p>
          <w:p w:rsidR="00206C47" w:rsidRDefault="00206C47" w:rsidP="00A13CCE">
            <w:pPr>
              <w:spacing w:after="120"/>
              <w:jc w:val="both"/>
            </w:pPr>
          </w:p>
        </w:tc>
      </w:tr>
      <w:tr w:rsidR="00C82C1F" w:rsidTr="00C82C1F">
        <w:tc>
          <w:tcPr>
            <w:tcW w:w="1668" w:type="dxa"/>
          </w:tcPr>
          <w:p w:rsidR="00E6569D" w:rsidRDefault="00E6569D" w:rsidP="00E6569D">
            <w:pPr>
              <w:jc w:val="center"/>
              <w:rPr>
                <w:b/>
              </w:rPr>
            </w:pPr>
          </w:p>
          <w:p w:rsidR="00BE67C5" w:rsidRPr="00E6569D" w:rsidRDefault="00BE67C5" w:rsidP="00E6569D">
            <w:pPr>
              <w:jc w:val="center"/>
              <w:rPr>
                <w:b/>
              </w:rPr>
            </w:pPr>
            <w:r>
              <w:rPr>
                <w:b/>
              </w:rPr>
              <w:t>Lors de toutes les séances</w:t>
            </w:r>
          </w:p>
        </w:tc>
        <w:tc>
          <w:tcPr>
            <w:tcW w:w="7544" w:type="dxa"/>
          </w:tcPr>
          <w:p w:rsidR="00C82C1F" w:rsidRDefault="00C82C1F" w:rsidP="00C82C1F">
            <w:pPr>
              <w:jc w:val="both"/>
            </w:pPr>
          </w:p>
          <w:p w:rsidR="00E6569D" w:rsidRDefault="00E6569D" w:rsidP="00C82C1F">
            <w:pPr>
              <w:jc w:val="both"/>
            </w:pPr>
            <w:r>
              <w:t xml:space="preserve">- Annoncer, en tant qu’enseignant, lorsque l’on </w:t>
            </w:r>
            <w:r w:rsidRPr="00E6569D">
              <w:rPr>
                <w:b/>
              </w:rPr>
              <w:t>exige des élèves une prise de note</w:t>
            </w:r>
            <w:r>
              <w:t>. Par exemple, sur une séance d’une heure, préciser que pendant les vingt premières minutes</w:t>
            </w:r>
            <w:r w:rsidR="006516FC">
              <w:t xml:space="preserve"> de la séance</w:t>
            </w:r>
            <w:r>
              <w:t xml:space="preserve">, </w:t>
            </w:r>
            <w:r w:rsidR="006516FC">
              <w:t>les élèves devront prendre des notes</w:t>
            </w:r>
            <w:r>
              <w:t>.</w:t>
            </w:r>
          </w:p>
          <w:p w:rsidR="00E6569D" w:rsidRDefault="00E6569D" w:rsidP="00C82C1F">
            <w:pPr>
              <w:jc w:val="both"/>
            </w:pPr>
          </w:p>
          <w:p w:rsidR="006516FC" w:rsidRDefault="006516FC" w:rsidP="00C82C1F">
            <w:pPr>
              <w:jc w:val="both"/>
            </w:pPr>
          </w:p>
          <w:p w:rsidR="006516FC" w:rsidRDefault="006516FC" w:rsidP="00C82C1F">
            <w:pPr>
              <w:jc w:val="both"/>
            </w:pPr>
          </w:p>
        </w:tc>
      </w:tr>
      <w:tr w:rsidR="00E6569D" w:rsidTr="00E6569D">
        <w:tc>
          <w:tcPr>
            <w:tcW w:w="9212" w:type="dxa"/>
            <w:gridSpan w:val="2"/>
            <w:shd w:val="clear" w:color="auto" w:fill="F2F2F2" w:themeFill="background1" w:themeFillShade="F2"/>
          </w:tcPr>
          <w:p w:rsidR="00E6569D" w:rsidRPr="006516FC" w:rsidRDefault="00E6569D" w:rsidP="00E6569D">
            <w:pPr>
              <w:jc w:val="center"/>
              <w:rPr>
                <w:b/>
                <w:sz w:val="24"/>
              </w:rPr>
            </w:pPr>
            <w:r w:rsidRPr="006516FC">
              <w:rPr>
                <w:b/>
                <w:sz w:val="24"/>
              </w:rPr>
              <w:lastRenderedPageBreak/>
              <w:t>EN PREMIERE</w:t>
            </w:r>
          </w:p>
        </w:tc>
      </w:tr>
      <w:tr w:rsidR="00C82C1F" w:rsidTr="00C82C1F">
        <w:tc>
          <w:tcPr>
            <w:tcW w:w="1668" w:type="dxa"/>
          </w:tcPr>
          <w:p w:rsidR="00C82C1F" w:rsidRDefault="00C82C1F" w:rsidP="00E6569D">
            <w:pPr>
              <w:jc w:val="center"/>
              <w:rPr>
                <w:b/>
              </w:rPr>
            </w:pPr>
          </w:p>
          <w:p w:rsidR="00E6569D" w:rsidRPr="00E6569D" w:rsidRDefault="00E6569D" w:rsidP="00E6569D">
            <w:pPr>
              <w:jc w:val="center"/>
              <w:rPr>
                <w:b/>
              </w:rPr>
            </w:pPr>
            <w:r>
              <w:rPr>
                <w:b/>
              </w:rPr>
              <w:t>Lors des séances d’AP</w:t>
            </w:r>
          </w:p>
        </w:tc>
        <w:tc>
          <w:tcPr>
            <w:tcW w:w="7544" w:type="dxa"/>
          </w:tcPr>
          <w:p w:rsidR="00C82C1F" w:rsidRDefault="00C82C1F" w:rsidP="00C82C1F">
            <w:pPr>
              <w:jc w:val="both"/>
            </w:pPr>
          </w:p>
          <w:p w:rsidR="006516FC" w:rsidRDefault="00E6569D" w:rsidP="00C82C1F">
            <w:pPr>
              <w:jc w:val="both"/>
            </w:pPr>
            <w:r>
              <w:t xml:space="preserve">- </w:t>
            </w:r>
            <w:r w:rsidR="006516FC">
              <w:t xml:space="preserve">Réaliser un </w:t>
            </w:r>
            <w:r w:rsidR="006516FC" w:rsidRPr="006516FC">
              <w:rPr>
                <w:b/>
              </w:rPr>
              <w:t>diagnostic des besoins des élèves afin de proposer des activités méthodologiques adaptées aux futures poursuites d’études</w:t>
            </w:r>
            <w:r w:rsidR="006516FC">
              <w:t> : travailler l’expression orale pour les élèves souhaitant passer des concours, la prise de notes pour les élèves souhaitant intégrer un BTS…</w:t>
            </w:r>
          </w:p>
          <w:p w:rsidR="006516FC" w:rsidRDefault="006516FC" w:rsidP="00C82C1F">
            <w:pPr>
              <w:jc w:val="both"/>
            </w:pPr>
            <w:r>
              <w:t xml:space="preserve">Pour ces élèves, souhaitant intégrer un BTS, les mêmes exercices que ceux proposés en seconde seraient réalisés, avec des textes plus longs par exemple, pour approfondir. </w:t>
            </w:r>
          </w:p>
          <w:p w:rsidR="006516FC" w:rsidRDefault="006516FC" w:rsidP="00C82C1F">
            <w:pPr>
              <w:jc w:val="both"/>
            </w:pPr>
          </w:p>
          <w:p w:rsidR="006516FC" w:rsidRDefault="006516FC" w:rsidP="00C82C1F">
            <w:pPr>
              <w:jc w:val="both"/>
            </w:pPr>
          </w:p>
        </w:tc>
      </w:tr>
      <w:tr w:rsidR="006516FC" w:rsidTr="006516FC">
        <w:tc>
          <w:tcPr>
            <w:tcW w:w="9212" w:type="dxa"/>
            <w:gridSpan w:val="2"/>
            <w:shd w:val="clear" w:color="auto" w:fill="F2F2F2" w:themeFill="background1" w:themeFillShade="F2"/>
          </w:tcPr>
          <w:p w:rsidR="006516FC" w:rsidRPr="006516FC" w:rsidRDefault="006516FC" w:rsidP="006516FC">
            <w:pPr>
              <w:jc w:val="center"/>
              <w:rPr>
                <w:b/>
                <w:sz w:val="24"/>
              </w:rPr>
            </w:pPr>
            <w:r w:rsidRPr="006516FC">
              <w:rPr>
                <w:b/>
                <w:sz w:val="24"/>
              </w:rPr>
              <w:t>EN TERMINALE</w:t>
            </w:r>
          </w:p>
        </w:tc>
      </w:tr>
      <w:tr w:rsidR="00C82C1F" w:rsidTr="00C82C1F">
        <w:tc>
          <w:tcPr>
            <w:tcW w:w="1668" w:type="dxa"/>
          </w:tcPr>
          <w:p w:rsidR="00C82C1F" w:rsidRDefault="00C82C1F" w:rsidP="00E6569D">
            <w:pPr>
              <w:jc w:val="center"/>
              <w:rPr>
                <w:b/>
              </w:rPr>
            </w:pPr>
          </w:p>
          <w:p w:rsidR="006516FC" w:rsidRDefault="006516FC" w:rsidP="00E6569D">
            <w:pPr>
              <w:jc w:val="center"/>
              <w:rPr>
                <w:b/>
              </w:rPr>
            </w:pPr>
            <w:r>
              <w:rPr>
                <w:b/>
              </w:rPr>
              <w:t>Lors des séances d’AP</w:t>
            </w:r>
          </w:p>
          <w:p w:rsidR="006516FC" w:rsidRPr="00E6569D" w:rsidRDefault="006516FC" w:rsidP="00E6569D">
            <w:pPr>
              <w:jc w:val="center"/>
              <w:rPr>
                <w:b/>
              </w:rPr>
            </w:pPr>
          </w:p>
        </w:tc>
        <w:tc>
          <w:tcPr>
            <w:tcW w:w="7544" w:type="dxa"/>
          </w:tcPr>
          <w:p w:rsidR="00C82C1F" w:rsidRDefault="00C82C1F" w:rsidP="00C82C1F">
            <w:pPr>
              <w:jc w:val="both"/>
            </w:pPr>
          </w:p>
          <w:p w:rsidR="006516FC" w:rsidRDefault="006516FC" w:rsidP="00C82C1F">
            <w:pPr>
              <w:jc w:val="both"/>
              <w:rPr>
                <w:b/>
              </w:rPr>
            </w:pPr>
            <w:r>
              <w:t xml:space="preserve">Rédiger une </w:t>
            </w:r>
            <w:r w:rsidRPr="006516FC">
              <w:rPr>
                <w:b/>
              </w:rPr>
              <w:t>prise de notes à partir</w:t>
            </w:r>
            <w:r>
              <w:rPr>
                <w:b/>
              </w:rPr>
              <w:t> :</w:t>
            </w:r>
          </w:p>
          <w:p w:rsidR="006516FC" w:rsidRDefault="006516FC" w:rsidP="00C82C1F">
            <w:pPr>
              <w:jc w:val="both"/>
            </w:pPr>
            <w:r>
              <w:rPr>
                <w:b/>
              </w:rPr>
              <w:t>-</w:t>
            </w:r>
            <w:r w:rsidRPr="006516FC">
              <w:rPr>
                <w:b/>
              </w:rPr>
              <w:t xml:space="preserve"> d’une vidéo présentant un métier</w:t>
            </w:r>
            <w:r>
              <w:t xml:space="preserve"> (exemple : vidéos de l’ONISEP). Cet exercice permet de travailler à la fois la prise de notes et l’orientation des élèves, </w:t>
            </w:r>
            <w:r w:rsidR="00206C47">
              <w:t xml:space="preserve">tout </w:t>
            </w:r>
            <w:r>
              <w:t>en utilisant les outils numériques.</w:t>
            </w:r>
          </w:p>
          <w:p w:rsidR="006516FC" w:rsidRDefault="006516FC" w:rsidP="00C82C1F">
            <w:pPr>
              <w:jc w:val="both"/>
            </w:pPr>
            <w:r>
              <w:t xml:space="preserve">- </w:t>
            </w:r>
            <w:r w:rsidRPr="006516FC">
              <w:rPr>
                <w:b/>
              </w:rPr>
              <w:t>d’un article, d’un documentaire</w:t>
            </w:r>
            <w:r>
              <w:t>… sur un thème d’actualité du d</w:t>
            </w:r>
            <w:r w:rsidR="00BE67C5">
              <w:t>omaine sanitaire et social.</w:t>
            </w:r>
          </w:p>
          <w:p w:rsidR="006516FC" w:rsidRDefault="006516FC" w:rsidP="00C82C1F">
            <w:pPr>
              <w:jc w:val="both"/>
            </w:pPr>
          </w:p>
        </w:tc>
      </w:tr>
      <w:tr w:rsidR="00BE67C5" w:rsidTr="00BE67C5">
        <w:tc>
          <w:tcPr>
            <w:tcW w:w="9212" w:type="dxa"/>
            <w:gridSpan w:val="2"/>
            <w:shd w:val="clear" w:color="auto" w:fill="F2F2F2" w:themeFill="background1" w:themeFillShade="F2"/>
          </w:tcPr>
          <w:p w:rsidR="00BE67C5" w:rsidRPr="00BE67C5" w:rsidRDefault="00BE67C5" w:rsidP="00BE67C5">
            <w:pPr>
              <w:jc w:val="center"/>
              <w:rPr>
                <w:b/>
                <w:sz w:val="24"/>
              </w:rPr>
            </w:pPr>
            <w:r w:rsidRPr="00BE67C5">
              <w:rPr>
                <w:b/>
                <w:sz w:val="24"/>
              </w:rPr>
              <w:t>EN BTS</w:t>
            </w:r>
          </w:p>
        </w:tc>
      </w:tr>
      <w:tr w:rsidR="00B4551A" w:rsidTr="00C82C1F">
        <w:tc>
          <w:tcPr>
            <w:tcW w:w="1668" w:type="dxa"/>
          </w:tcPr>
          <w:p w:rsidR="00B4551A" w:rsidRDefault="00B4551A" w:rsidP="00B4551A">
            <w:pPr>
              <w:jc w:val="center"/>
              <w:rPr>
                <w:b/>
              </w:rPr>
            </w:pPr>
            <w:r>
              <w:rPr>
                <w:b/>
              </w:rPr>
              <w:t>Lors des premières séances</w:t>
            </w:r>
          </w:p>
        </w:tc>
        <w:tc>
          <w:tcPr>
            <w:tcW w:w="7544" w:type="dxa"/>
          </w:tcPr>
          <w:p w:rsidR="00B4551A" w:rsidRDefault="00B4551A" w:rsidP="00C82C1F">
            <w:pPr>
              <w:jc w:val="both"/>
            </w:pPr>
          </w:p>
          <w:p w:rsidR="00B4551A" w:rsidRDefault="00B4551A" w:rsidP="00C82C1F">
            <w:pPr>
              <w:jc w:val="both"/>
            </w:pPr>
            <w:r>
              <w:t xml:space="preserve">- Demander aux étudiants une prise de note d’un cours, en salle informatique si possible. Puis, </w:t>
            </w:r>
            <w:r w:rsidRPr="00B4551A">
              <w:rPr>
                <w:b/>
              </w:rPr>
              <w:t>projeter les prises de notes d’étudiants volontaires</w:t>
            </w:r>
            <w:r>
              <w:t>. Analyser les prises de notes, sélectionner les plus pertinentes en expliquant pourquoi.</w:t>
            </w:r>
          </w:p>
          <w:p w:rsidR="00B4551A" w:rsidRDefault="00B4551A" w:rsidP="00C82C1F">
            <w:pPr>
              <w:jc w:val="both"/>
            </w:pPr>
          </w:p>
        </w:tc>
      </w:tr>
      <w:tr w:rsidR="00C82C1F" w:rsidTr="00C82C1F">
        <w:tc>
          <w:tcPr>
            <w:tcW w:w="1668" w:type="dxa"/>
          </w:tcPr>
          <w:p w:rsidR="00C82C1F" w:rsidRDefault="00C82C1F" w:rsidP="00E6569D">
            <w:pPr>
              <w:jc w:val="center"/>
              <w:rPr>
                <w:b/>
              </w:rPr>
            </w:pPr>
          </w:p>
          <w:p w:rsidR="00BE67C5" w:rsidRDefault="00BE67C5" w:rsidP="00E6569D">
            <w:pPr>
              <w:jc w:val="center"/>
              <w:rPr>
                <w:b/>
              </w:rPr>
            </w:pPr>
            <w:r>
              <w:rPr>
                <w:b/>
              </w:rPr>
              <w:t>Lors de toutes les séances</w:t>
            </w:r>
          </w:p>
          <w:p w:rsidR="00BE67C5" w:rsidRPr="00E6569D" w:rsidRDefault="00BE67C5" w:rsidP="00E6569D">
            <w:pPr>
              <w:jc w:val="center"/>
              <w:rPr>
                <w:b/>
              </w:rPr>
            </w:pPr>
          </w:p>
        </w:tc>
        <w:tc>
          <w:tcPr>
            <w:tcW w:w="7544" w:type="dxa"/>
          </w:tcPr>
          <w:p w:rsidR="00C82C1F" w:rsidRDefault="00C82C1F" w:rsidP="00C82C1F">
            <w:pPr>
              <w:jc w:val="both"/>
            </w:pPr>
          </w:p>
          <w:p w:rsidR="00BE67C5" w:rsidRDefault="00BE67C5" w:rsidP="00C82C1F">
            <w:pPr>
              <w:jc w:val="both"/>
            </w:pPr>
            <w:r>
              <w:t>- Donner le cours aux étudiants</w:t>
            </w:r>
            <w:r w:rsidR="00206C47">
              <w:t xml:space="preserve"> (pour limiter la prise de notes qui nécessite une dictée)</w:t>
            </w:r>
            <w:r>
              <w:t xml:space="preserve">, à partir duquel, ils doivent </w:t>
            </w:r>
            <w:r w:rsidRPr="00BE67C5">
              <w:rPr>
                <w:b/>
              </w:rPr>
              <w:t>réaliser des activités</w:t>
            </w:r>
            <w:r>
              <w:t>, nous perm</w:t>
            </w:r>
            <w:r w:rsidR="00206C47">
              <w:t>ettant de travailler les savoir-faire</w:t>
            </w:r>
            <w:r>
              <w:t>. Seule la correction de ces activités sera à prendre en note.</w:t>
            </w:r>
          </w:p>
          <w:p w:rsidR="00BE67C5" w:rsidRDefault="00BE67C5" w:rsidP="00C82C1F">
            <w:pPr>
              <w:jc w:val="both"/>
            </w:pPr>
          </w:p>
        </w:tc>
      </w:tr>
    </w:tbl>
    <w:p w:rsidR="00C82C1F" w:rsidRPr="00C82C1F" w:rsidRDefault="00C82C1F" w:rsidP="00C82C1F">
      <w:pPr>
        <w:jc w:val="both"/>
      </w:pPr>
    </w:p>
    <w:sectPr w:rsidR="00C82C1F" w:rsidRPr="00C8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E2"/>
    <w:rsid w:val="00206C47"/>
    <w:rsid w:val="002E3BE2"/>
    <w:rsid w:val="006516FC"/>
    <w:rsid w:val="006E7203"/>
    <w:rsid w:val="00A13CCE"/>
    <w:rsid w:val="00B4551A"/>
    <w:rsid w:val="00BE67C5"/>
    <w:rsid w:val="00C82C1F"/>
    <w:rsid w:val="00DA70E7"/>
    <w:rsid w:val="00DF601F"/>
    <w:rsid w:val="00E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954F2-8B2F-4626-A359-7E09FACC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cinq</dc:creator>
  <cp:keywords/>
  <dc:description/>
  <cp:lastModifiedBy>catherine armagnac</cp:lastModifiedBy>
  <cp:revision>2</cp:revision>
  <dcterms:created xsi:type="dcterms:W3CDTF">2018-02-18T12:16:00Z</dcterms:created>
  <dcterms:modified xsi:type="dcterms:W3CDTF">2018-02-18T12:16:00Z</dcterms:modified>
</cp:coreProperties>
</file>