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DEEAF6" w:themeFill="accent5" w:themeFillTint="33"/>
        <w:spacing w:lineRule="auto" w:line="240" w:before="0" w:after="120"/>
        <w:rPr>
          <w:rFonts w:ascii="DejaVuSans-Bold" w:hAnsi="DejaVuSans-Bold" w:cs="DejaVuSans-Bold"/>
          <w:b/>
          <w:b/>
          <w:bCs/>
          <w:color w:val="41527B"/>
          <w:kern w:val="0"/>
          <w:sz w:val="32"/>
          <w:szCs w:val="32"/>
        </w:rPr>
      </w:pPr>
      <w:r>
        <w:rPr>
          <w:rFonts w:cs="DejaVuSans-Bold" w:ascii="DejaVuSans-Bold" w:hAnsi="DejaVuSans-Bold"/>
          <w:b/>
          <w:bCs/>
          <w:color w:val="41527B"/>
          <w:kern w:val="0"/>
          <w:sz w:val="32"/>
          <w:szCs w:val="32"/>
        </w:rPr>
        <w:t>TABLEAU SYNTHÉTIQUE DE SÉQUENCE</w:t>
      </w:r>
    </w:p>
    <w:tbl>
      <w:tblPr>
        <w:tblStyle w:val="Grilledutableau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75"/>
        <w:gridCol w:w="7480"/>
      </w:tblGrid>
      <w:tr>
        <w:trPr/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color="auto" w:fill="4A7CF8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rlito-Bold" w:hAnsi="Carlito-Bold" w:cs="Carlito-Bold"/>
                <w:b/>
                <w:b/>
                <w:bCs/>
                <w:color w:val="FFFFFF" w:themeColor="background1"/>
                <w:kern w:val="0"/>
              </w:rPr>
            </w:pPr>
            <w:r>
              <w:rPr>
                <w:rFonts w:eastAsia="Calibri" w:cs="Carlito-Bold" w:ascii="Carlito-Bold" w:hAnsi="Carlito-Bold"/>
                <w:b/>
                <w:bCs/>
                <w:color w:val="FFFFFF" w:themeColor="background1"/>
                <w:kern w:val="0"/>
                <w:sz w:val="22"/>
                <w:szCs w:val="22"/>
                <w:lang w:val="fr-FR" w:eastAsia="en-US" w:bidi="ar-SA"/>
              </w:rPr>
              <w:t>Académie de …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color="auto" w:fill="4A7CF8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rlito-Bold" w:hAnsi="Carlito-Bold" w:cs="Carlito-Bold"/>
                <w:b/>
                <w:b/>
                <w:bCs/>
                <w:color w:val="FFFFFF" w:themeColor="background1"/>
                <w:kern w:val="0"/>
              </w:rPr>
            </w:pPr>
            <w:r>
              <w:rPr>
                <w:rFonts w:eastAsia="Calibri" w:cs="Carlito-Bold" w:ascii="Carlito-Bold" w:hAnsi="Carlito-Bold"/>
                <w:b/>
                <w:bCs/>
                <w:color w:val="FFFFFF" w:themeColor="background1"/>
                <w:kern w:val="0"/>
                <w:sz w:val="22"/>
                <w:szCs w:val="22"/>
                <w:lang w:val="fr-FR" w:eastAsia="en-US" w:bidi="ar-SA"/>
              </w:rPr>
              <w:t>Académie(s) bi/trinôme(s) :</w:t>
            </w:r>
          </w:p>
        </w:tc>
      </w:tr>
      <w:tr>
        <w:trPr/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color="auto" w:fill="4A7CF8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rlito-Bold" w:hAnsi="Carlito-Bold" w:cs="Carlito-Bold"/>
                <w:b/>
                <w:b/>
                <w:bCs/>
                <w:color w:val="FFFFFF" w:themeColor="background1"/>
                <w:kern w:val="0"/>
              </w:rPr>
            </w:pPr>
            <w:r>
              <w:rPr>
                <w:rFonts w:eastAsia="Calibri" w:cs="Carlito-Bold" w:ascii="Carlito-Bold" w:hAnsi="Carlito-Bold"/>
                <w:b/>
                <w:bCs/>
                <w:color w:val="FFFFFF" w:themeColor="background1"/>
                <w:kern w:val="0"/>
                <w:sz w:val="22"/>
                <w:szCs w:val="22"/>
                <w:lang w:val="fr-FR" w:eastAsia="en-US" w:bidi="ar-SA"/>
              </w:rPr>
              <w:t>Concepteurs de la séquence :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color="auto" w:fill="4A7CF8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rlito-Bold" w:hAnsi="Carlito-Bold" w:cs="Carlito-Bold"/>
                <w:b/>
                <w:b/>
                <w:bCs/>
                <w:color w:val="FFFFFF" w:themeColor="background1"/>
                <w:kern w:val="0"/>
              </w:rPr>
            </w:pPr>
            <w:r>
              <w:rPr>
                <w:rFonts w:eastAsia="Calibri" w:cs="Carlito-Bold" w:ascii="Carlito-Bold" w:hAnsi="Carlito-Bold"/>
                <w:b/>
                <w:bCs/>
                <w:color w:val="FFFFFF" w:themeColor="background1"/>
                <w:kern w:val="0"/>
                <w:sz w:val="22"/>
                <w:szCs w:val="22"/>
                <w:lang w:val="fr-FR" w:eastAsia="en-US" w:bidi="ar-SA"/>
              </w:rPr>
              <w:t>Aline Bousquet</w:t>
            </w:r>
          </w:p>
        </w:tc>
      </w:tr>
      <w:tr>
        <w:trPr/>
        <w:tc>
          <w:tcPr>
            <w:tcW w:w="10455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DEEAF6" w:themeFill="accent5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rlito-Bold" w:hAnsi="Carlito-Bold" w:cs="Carlito-Bold"/>
                <w:b/>
                <w:b/>
                <w:bCs/>
                <w:kern w:val="0"/>
              </w:rPr>
            </w:pPr>
            <w:r>
              <w:rPr>
                <w:rFonts w:eastAsia="Calibri" w:cs="Carlito-Bold" w:ascii="Carlito-Bold" w:hAnsi="Carlito-Bold"/>
                <w:b/>
                <w:bCs/>
                <w:kern w:val="0"/>
                <w:sz w:val="22"/>
                <w:szCs w:val="22"/>
                <w:lang w:val="fr-FR" w:eastAsia="en-US" w:bidi="ar-SA"/>
              </w:rPr>
              <w:t>Axe n°…… - Projet n°…</w:t>
            </w:r>
          </w:p>
        </w:tc>
      </w:tr>
      <w:tr>
        <w:trPr/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color="auto" w:fill="DEEAF6" w:themeFill="accent5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rlito-Bold" w:hAnsi="Carlito-Bold" w:cs="Carlito-Bold"/>
                <w:b/>
                <w:b/>
                <w:bCs/>
                <w:color w:val="000000"/>
                <w:kern w:val="0"/>
              </w:rPr>
            </w:pPr>
            <w:r>
              <w:rPr>
                <w:rFonts w:eastAsia="Calibri" w:cs="Carlito-Bold" w:ascii="Carlito-Bold" w:hAnsi="Carlito-Bold"/>
                <w:b/>
                <w:bCs/>
                <w:color w:val="000000"/>
                <w:kern w:val="0"/>
                <w:sz w:val="22"/>
                <w:szCs w:val="22"/>
                <w:lang w:val="fr-FR" w:eastAsia="en-US" w:bidi="ar-SA"/>
              </w:rPr>
              <w:t>Intitulé du projet :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color="auto" w:fill="DEEAF6" w:themeFill="accent5" w:themeFillTint="33" w:val="clear"/>
            <w:vAlign w:val="center"/>
          </w:tcPr>
          <w:p>
            <w:pPr>
              <w:pStyle w:val="Titre1"/>
              <w:widowControl w:val="false"/>
              <w:spacing w:lineRule="auto" w:line="240" w:before="0" w:after="0"/>
              <w:jc w:val="left"/>
              <w:rPr>
                <w:rFonts w:ascii="Carlito-Bold" w:hAnsi="Carlito-Bold" w:cs="Carlito-Bold"/>
                <w:b/>
                <w:b/>
                <w:bCs/>
                <w:kern w:val="0"/>
              </w:rPr>
            </w:pPr>
            <w:r>
              <w:rPr>
                <w:rFonts w:eastAsia="Calibri" w:cs="Carlito-Bold" w:ascii="Carlito-Bold" w:hAnsi="Carlito-Bold"/>
                <w:b/>
                <w:bCs/>
                <w:i w:val="false"/>
                <w:caps w:val="false"/>
                <w:smallCaps w:val="false"/>
                <w:spacing w:val="0"/>
                <w:kern w:val="0"/>
                <w:sz w:val="22"/>
                <w:szCs w:val="22"/>
                <w:lang w:val="fr-FR" w:eastAsia="en-US" w:bidi="ar-SA"/>
              </w:rPr>
              <w:t>Moteurs de recherche et intelligence artificielle générative</w:t>
            </w:r>
          </w:p>
        </w:tc>
      </w:tr>
      <w:tr>
        <w:trPr>
          <w:trHeight w:val="398" w:hRule="atLeast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color="auto" w:fill="DEEAF6" w:themeFill="accent5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rlito-Bold" w:hAnsi="Carlito-Bold" w:cs="Carlito-Bold"/>
                <w:b/>
                <w:b/>
                <w:bCs/>
                <w:color w:val="000000"/>
                <w:kern w:val="0"/>
              </w:rPr>
            </w:pPr>
            <w:r>
              <w:rPr>
                <w:rFonts w:eastAsia="Calibri" w:cs="Carlito-Bold" w:ascii="Carlito-Bold" w:hAnsi="Carlito-Bold"/>
                <w:b/>
                <w:bCs/>
                <w:color w:val="000000"/>
                <w:kern w:val="0"/>
                <w:sz w:val="22"/>
                <w:szCs w:val="22"/>
                <w:lang w:val="fr-FR" w:eastAsia="en-US" w:bidi="ar-SA"/>
              </w:rPr>
              <w:t>Mots clés du projet :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color="auto" w:fill="DEEAF6" w:themeFill="accent5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rlito-Bold" w:hAnsi="Carlito-Bold" w:cs="Carlito-Bold"/>
                <w:b/>
                <w:b/>
                <w:bCs/>
                <w:kern w:val="0"/>
              </w:rPr>
            </w:pPr>
            <w:r>
              <w:rPr>
                <w:rFonts w:eastAsia="Calibri" w:cs="Carlito-Bold" w:ascii="Carlito-Bold" w:hAnsi="Carlito-Bold" w:eastAsiaTheme="minorHAnsi"/>
                <w:b/>
                <w:bCs/>
                <w:color w:val="auto"/>
                <w:kern w:val="0"/>
                <w:sz w:val="22"/>
                <w:szCs w:val="22"/>
                <w:lang w:val="fr-FR" w:eastAsia="en-US" w:bidi="ar-SA"/>
                <w14:ligatures w14:val="standardContextual"/>
              </w:rPr>
              <w:t>Moteur de recherche, intelligence artificielle générative, intelligence artificielle, base de données, esprit critique, information</w:t>
            </w:r>
          </w:p>
        </w:tc>
      </w:tr>
      <w:tr>
        <w:trPr>
          <w:trHeight w:val="1248" w:hRule="atLeast"/>
        </w:trPr>
        <w:tc>
          <w:tcPr>
            <w:tcW w:w="10455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DEEAF6" w:themeFill="accent5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rlito-Bold" w:hAnsi="Carlito-Bold" w:cs="Carlito-Bold"/>
                <w:b/>
                <w:b/>
                <w:bCs/>
                <w:color w:val="000000"/>
                <w:kern w:val="0"/>
              </w:rPr>
            </w:pPr>
            <w:r>
              <w:rPr>
                <w:rFonts w:eastAsia="Calibri" w:cs="Carlito-Bold" w:ascii="Carlito-Bold" w:hAnsi="Carlito-Bold"/>
                <w:b/>
                <w:bCs/>
                <w:color w:val="000000"/>
                <w:kern w:val="0"/>
                <w:sz w:val="22"/>
                <w:szCs w:val="22"/>
                <w:lang w:val="fr-FR" w:eastAsia="en-US" w:bidi="ar-SA"/>
              </w:rPr>
              <w:t xml:space="preserve">Synthèse courte du projet :  </w:t>
            </w:r>
            <w:r>
              <w:rPr>
                <w:rFonts w:eastAsia="Calibri" w:cs="Carlito-Bold" w:ascii="Carlito-Bold" w:hAnsi="Carlito-Bold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fr-FR" w:eastAsia="en-US" w:bidi="ar-SA"/>
              </w:rPr>
              <w:t>L'arrivée de l'intelligence artificielle générative de texte marque la fin de la suprématie des moteurs de recherche dans l’accès aux informations numériques.</w:t>
            </w:r>
          </w:p>
          <w:p>
            <w:pPr>
              <w:pStyle w:val="Corpsdetexte"/>
              <w:widowControl w:val="false"/>
              <w:spacing w:lineRule="auto" w:line="360"/>
              <w:ind w:left="0" w:right="0" w:hanging="0"/>
              <w:rPr>
                <w:rFonts w:ascii="Carlito-Bold" w:hAnsi="Carlito-Bold" w:cs="Carlito-Bold"/>
                <w:b/>
                <w:b/>
                <w:bCs/>
                <w:color w:val="000000"/>
                <w:kern w:val="0"/>
              </w:rPr>
            </w:pPr>
            <w:r>
              <w:rPr>
                <w:rFonts w:ascii="Marianne;arial;sans-serif" w:hAnsi="Marianne;arial;sans-serif"/>
                <w:b w:val="false"/>
                <w:bCs w:val="false"/>
                <w:i w:val="false"/>
                <w:caps w:val="false"/>
                <w:smallCaps w:val="false"/>
                <w:color w:val="3A3A3A"/>
                <w:spacing w:val="0"/>
                <w:sz w:val="21"/>
              </w:rPr>
              <w:t>Cependant, certaines compétences sont nécessaires afin d'utiliser l'IAG de façon réfléchie afin d'utiliser le bon outil dans le bon contexte de recherche d'information : Dois-je privilégier le moteur de recherche ou un outil d'IAG pour répondre à mon besoin d'information ?</w:t>
            </w:r>
          </w:p>
          <w:p>
            <w:pPr>
              <w:pStyle w:val="Corpsdetexte"/>
              <w:widowControl w:val="false"/>
              <w:spacing w:lineRule="auto" w:line="360"/>
              <w:ind w:left="0" w:right="0" w:hanging="0"/>
              <w:rPr>
                <w:rFonts w:ascii="Carlito-Bold" w:hAnsi="Carlito-Bold" w:cs="Carlito-Bold"/>
                <w:b/>
                <w:b/>
                <w:bCs/>
                <w:color w:val="000000"/>
                <w:kern w:val="0"/>
              </w:rPr>
            </w:pPr>
            <w:r>
              <w:rPr>
                <w:rFonts w:ascii="Marianne;arial;sans-serif" w:hAnsi="Marianne;arial;sans-serif"/>
                <w:b w:val="false"/>
                <w:bCs w:val="false"/>
                <w:i w:val="false"/>
                <w:caps w:val="false"/>
                <w:smallCaps w:val="false"/>
                <w:color w:val="3A3A3A"/>
                <w:spacing w:val="0"/>
                <w:sz w:val="21"/>
              </w:rPr>
              <w:t xml:space="preserve">Comparer les deux possibilités du point de vue du fonctionnement et du vocabulaire est une première approche en 6° pour découvrir </w:t>
            </w:r>
            <w:r>
              <w:rPr>
                <w:rFonts w:eastAsia="Calibri" w:cs="" w:ascii="Marianne;arial;sans-serif" w:hAnsi="Marianne;arial;sans-serif" w:cstheme="minorBidi" w:eastAsiaTheme="minorHAnsi"/>
                <w:b w:val="false"/>
                <w:bCs w:val="false"/>
                <w:i w:val="false"/>
                <w:caps w:val="false"/>
                <w:smallCaps w:val="false"/>
                <w:color w:val="3A3A3A"/>
                <w:spacing w:val="0"/>
                <w:kern w:val="2"/>
                <w:sz w:val="21"/>
                <w:szCs w:val="22"/>
                <w:lang w:val="fr-FR" w:eastAsia="en-US" w:bidi="ar-SA"/>
                <w14:ligatures w14:val="standardContextual"/>
              </w:rPr>
              <w:t>l’IAG tout en exerçant son esprit critique.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rlito-Bold" w:hAnsi="Carlito-Bold" w:cs="Carlito-Bold"/>
                <w:b/>
                <w:b/>
                <w:bCs/>
                <w:color w:val="000000"/>
                <w:kern w:val="0"/>
              </w:rPr>
            </w:pPr>
            <w:r>
              <w:rPr>
                <w:rFonts w:cs="Carlito-Bold" w:ascii="Carlito-Bold" w:hAnsi="Carlito-Bold"/>
                <w:b/>
                <w:bCs/>
                <w:color w:val="000000"/>
                <w:kern w:val="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rlito-Bold" w:hAnsi="Carlito-Bold" w:cs="Carlito-Bold"/>
                <w:b/>
                <w:b/>
                <w:bCs/>
                <w:color w:val="000000"/>
                <w:kern w:val="0"/>
              </w:rPr>
            </w:pPr>
            <w:r>
              <w:rPr>
                <w:rFonts w:cs="Carlito-Bold" w:ascii="Carlito-Bold" w:hAnsi="Carlito-Bold"/>
                <w:b/>
                <w:bCs/>
                <w:color w:val="000000"/>
                <w:kern w:val="0"/>
              </w:rPr>
            </w:r>
          </w:p>
        </w:tc>
      </w:tr>
      <w:tr>
        <w:trPr>
          <w:trHeight w:val="398" w:hRule="atLeast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color="auto" w:fill="DEEAF6" w:themeFill="accent5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rlito-Bold" w:hAnsi="Carlito-Bold" w:cs="Carlito-Bold"/>
                <w:b/>
                <w:b/>
                <w:bCs/>
                <w:color w:val="000000"/>
                <w:kern w:val="0"/>
              </w:rPr>
            </w:pPr>
            <w:r>
              <w:rPr>
                <w:rFonts w:eastAsia="Calibri" w:cs="Carlito-Bold" w:ascii="Carlito-Bold" w:hAnsi="Carlito-Bold"/>
                <w:b/>
                <w:bCs/>
                <w:color w:val="000000"/>
                <w:kern w:val="0"/>
                <w:sz w:val="22"/>
                <w:szCs w:val="22"/>
                <w:lang w:val="fr-FR" w:eastAsia="en-US" w:bidi="ar-SA"/>
              </w:rPr>
              <w:t>Mots clés du projet :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color="auto" w:fill="DEEAF6" w:themeFill="accent5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rlito-Bold" w:hAnsi="Carlito-Bold" w:cs="Carlito-Bold"/>
                <w:b/>
                <w:b/>
                <w:bCs/>
                <w:kern w:val="0"/>
              </w:rPr>
            </w:pPr>
            <w:r>
              <w:rPr>
                <w:rFonts w:eastAsia="Calibri" w:cs="Carlito-Bold" w:ascii="Carlito-Bold" w:hAnsi="Carlito-Bold"/>
                <w:b/>
                <w:bCs/>
                <w:kern w:val="0"/>
                <w:sz w:val="22"/>
                <w:szCs w:val="22"/>
                <w:lang w:val="fr-FR" w:eastAsia="en-US" w:bidi="ar-SA"/>
              </w:rPr>
              <w:t>…</w:t>
            </w:r>
          </w:p>
        </w:tc>
      </w:tr>
      <w:tr>
        <w:trPr>
          <w:trHeight w:val="113" w:hRule="exact"/>
        </w:trPr>
        <w:tc>
          <w:tcPr>
            <w:tcW w:w="10455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rlito-Bold" w:hAnsi="Carlito-Bold" w:cs="Carlito-Bold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Carlito-Bold" w:ascii="Carlito-Bold" w:hAnsi="Carlito-Bold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</w:tr>
      <w:tr>
        <w:trPr>
          <w:trHeight w:val="562" w:hRule="atLeast"/>
        </w:trPr>
        <w:tc>
          <w:tcPr>
            <w:tcW w:w="10455" w:type="dxa"/>
            <w:gridSpan w:val="2"/>
            <w:tcBorders>
              <w:top w:val="nil"/>
              <w:left w:val="nil"/>
              <w:right w:val="nil"/>
            </w:tcBorders>
            <w:shd w:color="auto" w:fill="4A7C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rlito-Bold" w:hAnsi="Carlito-Bold" w:cs="Carlito-Bold"/>
                <w:b/>
                <w:b/>
                <w:bCs/>
                <w:color w:val="FFFFFF" w:themeColor="background1"/>
                <w:kern w:val="0"/>
              </w:rPr>
            </w:pPr>
            <w:r>
              <w:rPr>
                <w:rFonts w:eastAsia="Calibri" w:cs="Carlito-Bold" w:ascii="Carlito-Bold" w:hAnsi="Carlito-Bold"/>
                <w:b/>
                <w:bCs/>
                <w:color w:val="FFFFFF" w:themeColor="background1"/>
                <w:kern w:val="0"/>
                <w:sz w:val="22"/>
                <w:szCs w:val="22"/>
                <w:lang w:val="fr-FR" w:eastAsia="en-US" w:bidi="ar-SA"/>
              </w:rPr>
              <w:t>Description détaillée du projet / de la séquence (résumé long sous forme rédigée, problématique)</w:t>
            </w:r>
          </w:p>
        </w:tc>
      </w:tr>
      <w:tr>
        <w:trPr>
          <w:trHeight w:val="562" w:hRule="atLeast"/>
        </w:trPr>
        <w:tc>
          <w:tcPr>
            <w:tcW w:w="1045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jc w:val="left"/>
              <w:rPr>
                <w:rFonts w:ascii="Carlito-Bold" w:hAnsi="Carlito-Bold" w:cs="Carlito-Bold"/>
                <w:b/>
                <w:b/>
                <w:bCs/>
                <w:color w:val="000000"/>
                <w:kern w:val="0"/>
              </w:rPr>
            </w:pPr>
            <w:r>
              <w:rPr>
                <w:rFonts w:eastAsia="Calibri" w:cs="Carlito-Bold" w:ascii="Carlito-Bold" w:hAnsi="Carlito-Bold"/>
                <w:b/>
                <w:bCs/>
                <w:color w:val="000000"/>
                <w:kern w:val="0"/>
                <w:sz w:val="22"/>
                <w:szCs w:val="22"/>
                <w:lang w:val="fr-FR" w:eastAsia="en-US" w:bidi="ar-SA"/>
              </w:rPr>
              <w:t>Objectifs 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20" w:after="0"/>
              <w:jc w:val="left"/>
              <w:rPr>
                <w:rFonts w:ascii="Carlito-Bold" w:hAnsi="Carlito-Bold" w:cs="Carlito-Bold"/>
                <w:b/>
                <w:b/>
                <w:bCs/>
                <w:color w:val="000000"/>
                <w:kern w:val="0"/>
              </w:rPr>
            </w:pPr>
            <w:r>
              <w:rPr>
                <w:rFonts w:eastAsia="Calibri" w:cs="Carlito-Bold" w:ascii="Carlito-Bold" w:hAnsi="Carlito-Bold"/>
                <w:b w:val="false"/>
                <w:bCs w:val="false"/>
                <w:color w:val="000000"/>
                <w:kern w:val="0"/>
                <w:sz w:val="22"/>
                <w:szCs w:val="22"/>
                <w:lang w:val="fr-FR" w:eastAsia="en-US" w:bidi="ar-SA"/>
              </w:rPr>
              <w:t>Découvrir l’IAG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20" w:after="0"/>
              <w:jc w:val="left"/>
              <w:rPr>
                <w:rFonts w:ascii="Carlito-Bold" w:hAnsi="Carlito-Bold" w:cs="Carlito-Bold"/>
                <w:b/>
                <w:b/>
                <w:bCs/>
                <w:color w:val="000000"/>
                <w:kern w:val="0"/>
              </w:rPr>
            </w:pPr>
            <w:r>
              <w:rPr>
                <w:rFonts w:eastAsia="Calibri" w:cs="Carlito-Bold" w:ascii="Carlito-Bold" w:hAnsi="Carlito-Bold"/>
                <w:b w:val="false"/>
                <w:bCs w:val="false"/>
                <w:color w:val="000000"/>
                <w:kern w:val="0"/>
                <w:sz w:val="22"/>
                <w:szCs w:val="22"/>
                <w:lang w:val="fr-FR" w:eastAsia="en-US" w:bidi="ar-SA"/>
              </w:rPr>
              <w:t>Comparer le fonctionnement d’un moteur de recherche avec un outil d’IAG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20" w:after="0"/>
              <w:jc w:val="left"/>
              <w:rPr>
                <w:rFonts w:ascii="Carlito-Bold" w:hAnsi="Carlito-Bold" w:cs="Carlito-Bold"/>
                <w:b/>
                <w:b/>
                <w:bCs/>
                <w:color w:val="000000"/>
                <w:kern w:val="0"/>
              </w:rPr>
            </w:pPr>
            <w:r>
              <w:rPr>
                <w:rFonts w:eastAsia="Calibri" w:cs="Carlito-Bold" w:ascii="Carlito-Bold" w:hAnsi="Carlito-Bold"/>
                <w:b w:val="false"/>
                <w:bCs w:val="false"/>
                <w:color w:val="000000"/>
                <w:kern w:val="0"/>
                <w:sz w:val="22"/>
                <w:szCs w:val="22"/>
                <w:lang w:val="fr-FR" w:eastAsia="en-US" w:bidi="ar-SA"/>
              </w:rPr>
              <w:t>Acquérir le vocabulaire qui correspond à l’outil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20" w:after="0"/>
              <w:jc w:val="left"/>
              <w:rPr>
                <w:rFonts w:ascii="Carlito-Bold" w:hAnsi="Carlito-Bold" w:cs="Carlito-Bold"/>
                <w:b/>
                <w:b/>
                <w:bCs/>
                <w:color w:val="000000"/>
                <w:kern w:val="0"/>
              </w:rPr>
            </w:pPr>
            <w:r>
              <w:rPr>
                <w:rFonts w:eastAsia="Calibri" w:cs="Carlito-Bold" w:ascii="Carlito-Bold" w:hAnsi="Carlito-Bold"/>
                <w:b w:val="false"/>
                <w:bCs w:val="false"/>
                <w:color w:val="000000"/>
                <w:kern w:val="0"/>
                <w:sz w:val="22"/>
                <w:szCs w:val="22"/>
                <w:lang w:val="fr-FR" w:eastAsia="en-US" w:bidi="ar-SA"/>
              </w:rPr>
              <w:t>Développer sa culture numérique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rlito-Bold" w:hAnsi="Carlito-Bold" w:cs="Carlito-Bold"/>
                <w:b/>
                <w:b/>
                <w:bCs/>
                <w:color w:val="000000"/>
                <w:kern w:val="0"/>
              </w:rPr>
            </w:pPr>
            <w:r>
              <w:rPr>
                <w:rFonts w:cs="Carlito-Bold" w:ascii="Carlito-Bold" w:hAnsi="Carlito-Bold"/>
                <w:b/>
                <w:bCs/>
                <w:color w:val="000000"/>
                <w:kern w:val="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rlito-Bold" w:hAnsi="Carlito-Bold" w:cs="Carlito-Bold"/>
                <w:b/>
                <w:b/>
                <w:bCs/>
                <w:color w:val="000000"/>
                <w:kern w:val="0"/>
              </w:rPr>
            </w:pPr>
            <w:r>
              <w:rPr>
                <w:rFonts w:eastAsia="Calibri" w:cs="Carlito-Bold" w:ascii="Carlito-Bold" w:hAnsi="Carlito-Bold"/>
                <w:b/>
                <w:bCs/>
                <w:color w:val="000000"/>
                <w:kern w:val="0"/>
                <w:sz w:val="22"/>
                <w:szCs w:val="22"/>
                <w:lang w:val="fr-FR" w:eastAsia="en-US" w:bidi="ar-SA"/>
              </w:rPr>
              <w:t>Élèves impliqués (nombre, niveau) :</w:t>
            </w:r>
            <w:r>
              <w:rPr>
                <w:rFonts w:eastAsia="Calibri" w:cs="Carlito-Bold" w:ascii="Carlito-Bold" w:hAnsi="Carlito-Bold"/>
                <w:b w:val="false"/>
                <w:bCs w:val="false"/>
                <w:color w:val="000000"/>
                <w:kern w:val="0"/>
                <w:sz w:val="22"/>
                <w:szCs w:val="22"/>
                <w:lang w:val="fr-FR" w:eastAsia="en-US" w:bidi="ar-SA"/>
              </w:rPr>
              <w:t xml:space="preserve"> classe entière ou demi-classe, 6°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rlito-Bold" w:hAnsi="Carlito-Bold" w:cs="Carlito-Bold"/>
                <w:b/>
                <w:b/>
                <w:bCs/>
                <w:color w:val="000000"/>
                <w:kern w:val="0"/>
              </w:rPr>
            </w:pPr>
            <w:r>
              <w:rPr>
                <w:rFonts w:cs="Carlito-Bold" w:ascii="Carlito-Bold" w:hAnsi="Carlito-Bold"/>
                <w:b/>
                <w:bCs/>
                <w:color w:val="000000"/>
                <w:kern w:val="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rlito-Bold" w:hAnsi="Carlito-Bold" w:cs="Carlito-Bold"/>
                <w:b/>
                <w:b/>
                <w:bCs/>
                <w:color w:val="000000"/>
                <w:kern w:val="0"/>
              </w:rPr>
            </w:pPr>
            <w:r>
              <w:rPr>
                <w:rFonts w:eastAsia="Calibri" w:cs="Carlito-Bold" w:ascii="Carlito-Bold" w:hAnsi="Carlito-Bold"/>
                <w:b/>
                <w:bCs/>
                <w:color w:val="000000"/>
                <w:kern w:val="0"/>
                <w:sz w:val="22"/>
                <w:szCs w:val="22"/>
                <w:lang w:val="fr-FR" w:eastAsia="en-US" w:bidi="ar-SA"/>
              </w:rPr>
              <w:t xml:space="preserve">Professeurs impliqués (disciplines, nombre) : </w:t>
            </w:r>
            <w:r>
              <w:rPr>
                <w:rFonts w:eastAsia="Calibri" w:cs="Carlito-Bold" w:ascii="Carlito-Bold" w:hAnsi="Carlito-Bold"/>
                <w:b w:val="false"/>
                <w:bCs w:val="false"/>
                <w:color w:val="000000"/>
                <w:kern w:val="0"/>
                <w:sz w:val="22"/>
                <w:szCs w:val="22"/>
                <w:lang w:val="fr-FR" w:eastAsia="en-US" w:bidi="ar-SA"/>
              </w:rPr>
              <w:t>professeur documentaliste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rlito-Bold" w:hAnsi="Carlito-Bold" w:cs="Carlito-Bold"/>
                <w:b/>
                <w:b/>
                <w:bCs/>
                <w:color w:val="000000"/>
                <w:kern w:val="0"/>
              </w:rPr>
            </w:pPr>
            <w:r>
              <w:rPr>
                <w:rFonts w:cs="Carlito-Bold" w:ascii="Carlito-Bold" w:hAnsi="Carlito-Bold"/>
                <w:b/>
                <w:bCs/>
                <w:color w:val="000000"/>
                <w:kern w:val="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rlito-Bold" w:hAnsi="Carlito-Bold" w:cs="Carlito-Bold"/>
                <w:b/>
                <w:b/>
                <w:bCs/>
                <w:color w:val="000000"/>
                <w:kern w:val="0"/>
              </w:rPr>
            </w:pPr>
            <w:r>
              <w:rPr>
                <w:rFonts w:eastAsia="Calibri" w:cs="Carlito-Bold" w:ascii="Carlito-Bold" w:hAnsi="Carlito-Bold"/>
                <w:b/>
                <w:bCs/>
                <w:color w:val="000000"/>
                <w:kern w:val="0"/>
                <w:sz w:val="22"/>
                <w:szCs w:val="22"/>
                <w:lang w:val="fr-FR" w:eastAsia="en-US" w:bidi="ar-SA"/>
              </w:rPr>
              <w:t>Handicap : (type de trouble, ex : dyscalculie, et adaptations/compensations apportées)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rlito-Bold" w:hAnsi="Carlito-Bold" w:cs="Carlito-Bold"/>
                <w:b/>
                <w:b/>
                <w:bCs/>
                <w:color w:val="000000"/>
                <w:kern w:val="0"/>
              </w:rPr>
            </w:pPr>
            <w:r>
              <w:rPr>
                <w:rFonts w:cs="Carlito-Bold" w:ascii="Carlito-Bold" w:hAnsi="Carlito-Bold"/>
                <w:b/>
                <w:bCs/>
                <w:color w:val="000000"/>
                <w:kern w:val="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rlito-Bold" w:hAnsi="Carlito-Bold" w:cs="Carlito-Bold"/>
                <w:b/>
                <w:b/>
                <w:bCs/>
                <w:color w:val="000000"/>
                <w:kern w:val="0"/>
              </w:rPr>
            </w:pPr>
            <w:r>
              <w:rPr>
                <w:rFonts w:eastAsia="Calibri" w:cs="Carlito-Bold" w:ascii="Carlito-Bold" w:hAnsi="Carlito-Bold"/>
                <w:b/>
                <w:bCs/>
                <w:color w:val="000000"/>
                <w:kern w:val="0"/>
                <w:sz w:val="22"/>
                <w:szCs w:val="22"/>
                <w:lang w:val="fr-FR" w:eastAsia="en-US" w:bidi="ar-SA"/>
              </w:rPr>
              <w:t>Outils et matériel nomade utilisés (cadre d’utilisation, typologie et noms, commentaires sur les apports de l’outil)</w:t>
            </w:r>
          </w:p>
          <w:p>
            <w:pPr>
              <w:pStyle w:val="Normal"/>
              <w:widowControl w:val="false"/>
              <w:spacing w:lineRule="auto" w:line="240" w:before="120" w:after="0"/>
              <w:ind w:left="284" w:hanging="0"/>
              <w:jc w:val="left"/>
              <w:rPr>
                <w:rFonts w:ascii="Carlito" w:hAnsi="Carlito" w:cs="Carlito"/>
                <w:color w:val="000000"/>
                <w:kern w:val="0"/>
              </w:rPr>
            </w:pPr>
            <w:r>
              <w:rPr>
                <w:rFonts w:eastAsia="Wingdings" w:cs="Wingdings" w:ascii="Wingdings" w:hAnsi="Wingdings"/>
                <w:color w:val="000000"/>
                <w:kern w:val="0"/>
                <w:sz w:val="16"/>
                <w:szCs w:val="16"/>
                <w:lang w:val="fr-FR" w:eastAsia="en-US" w:bidi="ar-SA"/>
              </w:rPr>
              <w:t></w:t>
            </w:r>
            <w:r>
              <w:rPr>
                <w:rFonts w:eastAsia="Calibri" w:cs="Carlito" w:ascii="Carlito" w:hAnsi="Carlito"/>
                <w:color w:val="000000"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rFonts w:eastAsia="Calibri" w:cs="Carlito" w:ascii="Carlito" w:hAnsi="Carlito"/>
                <w:color w:val="000000"/>
                <w:kern w:val="0"/>
                <w:sz w:val="22"/>
                <w:szCs w:val="22"/>
                <w:lang w:val="fr-FR" w:eastAsia="en-US" w:bidi="ar-SA"/>
              </w:rPr>
              <w:t>Outil pour communiquer, échanger, collaborer :</w:t>
            </w:r>
          </w:p>
          <w:p>
            <w:pPr>
              <w:pStyle w:val="Normal"/>
              <w:widowControl w:val="false"/>
              <w:spacing w:lineRule="auto" w:line="240" w:before="0" w:after="0"/>
              <w:ind w:left="284" w:hanging="0"/>
              <w:jc w:val="left"/>
              <w:rPr>
                <w:rFonts w:ascii="Carlito" w:hAnsi="Carlito" w:cs="Carlito"/>
                <w:color w:val="000000"/>
                <w:kern w:val="0"/>
              </w:rPr>
            </w:pPr>
            <w:r>
              <w:rPr>
                <w:rFonts w:cs="Carlito" w:ascii="Carlito" w:hAnsi="Carlito"/>
                <w:color w:val="000000"/>
                <w:kern w:val="0"/>
              </w:rPr>
            </w:r>
          </w:p>
          <w:p>
            <w:pPr>
              <w:pStyle w:val="Normal"/>
              <w:widowControl w:val="false"/>
              <w:spacing w:lineRule="auto" w:line="240" w:before="120" w:after="0"/>
              <w:ind w:left="284" w:hanging="0"/>
              <w:jc w:val="left"/>
              <w:rPr>
                <w:rFonts w:ascii="Carlito" w:hAnsi="Carlito" w:cs="Carlito"/>
                <w:color w:val="000000"/>
                <w:kern w:val="0"/>
              </w:rPr>
            </w:pPr>
            <w:r>
              <w:rPr>
                <w:rFonts w:eastAsia="Wingdings" w:cs="Wingdings" w:ascii="Wingdings" w:hAnsi="Wingdings"/>
                <w:color w:val="000000"/>
                <w:kern w:val="0"/>
                <w:sz w:val="16"/>
                <w:szCs w:val="16"/>
                <w:lang w:val="fr-FR" w:eastAsia="en-US" w:bidi="ar-SA"/>
              </w:rPr>
              <w:t></w:t>
            </w:r>
            <w:r>
              <w:rPr>
                <w:rFonts w:eastAsia="Calibri" w:cs="Carlito" w:ascii="Carlito" w:hAnsi="Carlito"/>
                <w:color w:val="000000"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rFonts w:eastAsia="Calibri" w:cs="Carlito" w:ascii="Carlito" w:hAnsi="Carlito"/>
                <w:color w:val="000000"/>
                <w:kern w:val="0"/>
                <w:sz w:val="22"/>
                <w:szCs w:val="22"/>
                <w:lang w:val="fr-FR" w:eastAsia="en-US" w:bidi="ar-SA"/>
              </w:rPr>
              <w:t>Outils pour produire / coproduire / cocréer :</w:t>
            </w:r>
          </w:p>
          <w:p>
            <w:pPr>
              <w:pStyle w:val="Normal"/>
              <w:widowControl w:val="false"/>
              <w:spacing w:lineRule="auto" w:line="240" w:before="0" w:after="0"/>
              <w:ind w:left="284" w:hanging="0"/>
              <w:jc w:val="left"/>
              <w:rPr>
                <w:rFonts w:ascii="Carlito" w:hAnsi="Carlito" w:cs="Carlito"/>
                <w:color w:val="000000"/>
                <w:kern w:val="0"/>
              </w:rPr>
            </w:pPr>
            <w:r>
              <w:rPr>
                <w:rFonts w:cs="Carlito" w:ascii="Carlito" w:hAnsi="Carlito"/>
                <w:color w:val="000000"/>
                <w:kern w:val="0"/>
              </w:rPr>
            </w:r>
          </w:p>
          <w:p>
            <w:pPr>
              <w:pStyle w:val="Normal"/>
              <w:widowControl w:val="false"/>
              <w:spacing w:lineRule="auto" w:line="240" w:before="120" w:after="0"/>
              <w:ind w:left="284" w:hanging="0"/>
              <w:jc w:val="left"/>
              <w:rPr>
                <w:rFonts w:ascii="Carlito" w:hAnsi="Carlito" w:cs="Carlito"/>
                <w:color w:val="000000"/>
                <w:kern w:val="0"/>
              </w:rPr>
            </w:pPr>
            <w:r>
              <w:rPr>
                <w:rFonts w:eastAsia="Wingdings" w:cs="Wingdings" w:ascii="Wingdings" w:hAnsi="Wingdings"/>
                <w:b/>
                <w:bCs/>
                <w:color w:val="000000"/>
                <w:kern w:val="0"/>
                <w:sz w:val="16"/>
                <w:szCs w:val="16"/>
                <w:lang w:val="fr-FR" w:eastAsia="en-US" w:bidi="ar-SA"/>
              </w:rPr>
              <w:t></w:t>
            </w:r>
            <w:r>
              <w:rPr>
                <w:rFonts w:eastAsia="Calibri" w:cs="Carlito" w:ascii="Carlito" w:hAnsi="Carlito"/>
                <w:b/>
                <w:bCs/>
                <w:color w:val="000000"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rFonts w:eastAsia="Calibri" w:cs="Carlito" w:ascii="Carlito" w:hAnsi="Carlito"/>
                <w:b/>
                <w:bCs/>
                <w:color w:val="000000"/>
                <w:kern w:val="0"/>
                <w:sz w:val="22"/>
                <w:szCs w:val="22"/>
                <w:lang w:val="fr-FR" w:eastAsia="en-US" w:bidi="ar-SA"/>
              </w:rPr>
              <w:t>Autres :</w:t>
            </w:r>
            <w:r>
              <w:rPr>
                <w:rFonts w:eastAsia="Calibri" w:cs="Carlito" w:ascii="Carlito" w:hAnsi="Carlito"/>
                <w:color w:val="000000"/>
                <w:kern w:val="0"/>
                <w:sz w:val="22"/>
                <w:szCs w:val="22"/>
                <w:lang w:val="fr-FR" w:eastAsia="en-US" w:bidi="ar-SA"/>
              </w:rPr>
              <w:t xml:space="preserve"> outil d’IAG : Perplexity, ChatGPT, Mistral</w:t>
            </w:r>
          </w:p>
          <w:p>
            <w:pPr>
              <w:pStyle w:val="Normal"/>
              <w:widowControl w:val="false"/>
              <w:spacing w:lineRule="auto" w:line="240" w:before="0" w:after="0"/>
              <w:ind w:left="284" w:hanging="0"/>
              <w:jc w:val="left"/>
              <w:rPr>
                <w:rFonts w:ascii="Carlito-Bold" w:hAnsi="Carlito-Bold" w:cs="Carlito-Bold"/>
                <w:b/>
                <w:b/>
                <w:bCs/>
                <w:color w:val="000000"/>
                <w:kern w:val="0"/>
              </w:rPr>
            </w:pPr>
            <w:r>
              <w:rPr>
                <w:rFonts w:cs="Carlito-Bold" w:ascii="Carlito-Bold" w:hAnsi="Carlito-Bold"/>
                <w:b/>
                <w:bCs/>
                <w:color w:val="000000"/>
                <w:kern w:val="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rlito" w:hAnsi="Carlito" w:cs="Carlito"/>
                <w:color w:val="000000"/>
                <w:kern w:val="0"/>
              </w:rPr>
            </w:pPr>
            <w:r>
              <w:rPr>
                <w:rFonts w:cs="Carlito" w:ascii="Carlito" w:hAnsi="Carlito"/>
                <w:color w:val="000000"/>
                <w:kern w:val="0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Carlito-Bold" w:ascii="Carlito-Bold" w:hAnsi="Carlito-Bold"/>
                <w:b/>
                <w:bCs/>
                <w:color w:val="000000"/>
                <w:kern w:val="0"/>
                <w:sz w:val="22"/>
                <w:szCs w:val="22"/>
                <w:lang w:val="fr-FR" w:eastAsia="en-US" w:bidi="ar-SA"/>
              </w:rPr>
              <w:t xml:space="preserve">Compétences numériques : (se référer aux liens institutionnels suivants : </w:t>
            </w:r>
            <w:hyperlink r:id="rId2">
              <w:r>
                <w:rPr>
                  <w:rFonts w:eastAsia="Calibri" w:cs="Carlito-Bold" w:ascii="Carlito-Bold" w:hAnsi="Carlito-Bold"/>
                  <w:b/>
                  <w:bCs/>
                  <w:kern w:val="0"/>
                  <w:sz w:val="22"/>
                  <w:szCs w:val="22"/>
                  <w:lang w:val="fr-FR" w:eastAsia="en-US" w:bidi="ar-SA"/>
                </w:rPr>
                <w:t>CRCN</w:t>
              </w:r>
            </w:hyperlink>
            <w:r>
              <w:rPr>
                <w:rFonts w:eastAsia="Calibri" w:cs="Carlito-Bold" w:ascii="Carlito-Bold" w:hAnsi="Carlito-Bold"/>
                <w:b/>
                <w:bCs/>
                <w:color w:val="000000"/>
                <w:kern w:val="0"/>
                <w:sz w:val="22"/>
                <w:szCs w:val="22"/>
                <w:lang w:val="fr-FR" w:eastAsia="en-US" w:bidi="ar-SA"/>
              </w:rPr>
              <w:t xml:space="preserve">, </w:t>
            </w:r>
            <w:hyperlink r:id="rId3">
              <w:r>
                <w:rPr>
                  <w:rFonts w:eastAsia="Calibri" w:cs="Carlito-Bold" w:ascii="Carlito-Bold" w:hAnsi="Carlito-Bold"/>
                  <w:b/>
                  <w:bCs/>
                  <w:kern w:val="0"/>
                  <w:sz w:val="22"/>
                  <w:szCs w:val="22"/>
                  <w:lang w:val="fr-FR" w:eastAsia="en-US" w:bidi="ar-SA"/>
                </w:rPr>
                <w:t>EMI</w:t>
              </w:r>
            </w:hyperlink>
            <w:r>
              <w:rPr>
                <w:rFonts w:eastAsia="Calibri" w:cs="Carlito-Bold" w:ascii="Carlito-Bold" w:hAnsi="Carlito-Bold"/>
                <w:b/>
                <w:bCs/>
                <w:color w:val="000000"/>
                <w:kern w:val="0"/>
                <w:sz w:val="22"/>
                <w:szCs w:val="22"/>
                <w:lang w:val="fr-FR" w:eastAsia="en-US" w:bidi="ar-SA"/>
              </w:rPr>
              <w:t>)</w:t>
            </w:r>
          </w:p>
          <w:tbl>
            <w:tblPr>
              <w:tblStyle w:val="Grilledutableau"/>
              <w:tblW w:w="1023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402"/>
              <w:gridCol w:w="3414"/>
              <w:gridCol w:w="3414"/>
            </w:tblGrid>
            <w:tr>
              <w:trPr/>
              <w:tc>
                <w:tcPr>
                  <w:tcW w:w="3402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Calibri" w:hAnsi="Calibri" w:eastAsia="Calibri" w:cs=""/>
                      <w:kern w:val="2"/>
                      <w:sz w:val="22"/>
                      <w:szCs w:val="22"/>
                      <w:lang w:val="fr-FR" w:eastAsia="en-US" w:bidi="ar-SA"/>
                    </w:rPr>
                  </w:pPr>
                  <w:r>
                    <w:rPr>
                      <w:rFonts w:eastAsia="Calibri" w:cs=""/>
                      <w:kern w:val="2"/>
                      <w:sz w:val="22"/>
                      <w:szCs w:val="22"/>
                      <w:lang w:val="fr-FR" w:eastAsia="en-US" w:bidi="ar-SA"/>
                    </w:rPr>
                    <w:t>Domaine</w:t>
                  </w:r>
                </w:p>
              </w:tc>
              <w:tc>
                <w:tcPr>
                  <w:tcW w:w="3414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Calibri" w:hAnsi="Calibri" w:eastAsia="Calibri" w:cs=""/>
                      <w:kern w:val="2"/>
                      <w:sz w:val="22"/>
                      <w:szCs w:val="22"/>
                      <w:lang w:val="fr-FR" w:eastAsia="en-US" w:bidi="ar-SA"/>
                    </w:rPr>
                  </w:pPr>
                  <w:r>
                    <w:rPr>
                      <w:rFonts w:eastAsia="Calibri" w:cs=""/>
                      <w:kern w:val="2"/>
                      <w:sz w:val="22"/>
                      <w:szCs w:val="22"/>
                      <w:lang w:val="fr-FR" w:eastAsia="en-US" w:bidi="ar-SA"/>
                    </w:rPr>
                    <w:t>Compétence</w:t>
                  </w:r>
                </w:p>
              </w:tc>
              <w:tc>
                <w:tcPr>
                  <w:tcW w:w="3414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Calibri" w:hAnsi="Calibri" w:eastAsia="Calibri" w:cs=""/>
                      <w:kern w:val="2"/>
                      <w:sz w:val="22"/>
                      <w:szCs w:val="22"/>
                      <w:lang w:val="fr-FR" w:eastAsia="en-US" w:bidi="ar-SA"/>
                    </w:rPr>
                  </w:pPr>
                  <w:r>
                    <w:rPr>
                      <w:rFonts w:eastAsia="Calibri" w:cs=""/>
                      <w:kern w:val="2"/>
                      <w:sz w:val="22"/>
                      <w:szCs w:val="22"/>
                      <w:lang w:val="fr-FR" w:eastAsia="en-US" w:bidi="ar-SA"/>
                    </w:rPr>
                    <w:t>Lien avec les programmes</w:t>
                  </w:r>
                </w:p>
              </w:tc>
            </w:tr>
            <w:tr>
              <w:trPr>
                <w:trHeight w:val="635" w:hRule="atLeast"/>
              </w:trPr>
              <w:tc>
                <w:tcPr>
                  <w:tcW w:w="3402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2"/>
                      <w:sz w:val="22"/>
                      <w:szCs w:val="22"/>
                      <w:lang w:val="fr-FR" w:eastAsia="en-US" w:bidi="ar-SA"/>
                    </w:rPr>
                  </w:pPr>
                  <w:r>
                    <w:rPr>
                      <w:rFonts w:eastAsia="Calibri" w:cs=""/>
                      <w:kern w:val="2"/>
                      <w:sz w:val="22"/>
                      <w:szCs w:val="22"/>
                      <w:lang w:val="fr-FR" w:eastAsia="en-US" w:bidi="ar-SA"/>
                    </w:rPr>
                    <w:t>EMI</w:t>
                  </w:r>
                </w:p>
              </w:tc>
              <w:tc>
                <w:tcPr>
                  <w:tcW w:w="3414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2"/>
                      <w:sz w:val="22"/>
                      <w:szCs w:val="22"/>
                      <w:lang w:val="fr-FR" w:eastAsia="en-US" w:bidi="ar-SA"/>
                    </w:rPr>
                  </w:pPr>
                  <w:r>
                    <w:rPr>
                      <w:rFonts w:eastAsia="Calibri" w:cs=""/>
                      <w:kern w:val="2"/>
                      <w:sz w:val="22"/>
                      <w:szCs w:val="22"/>
                      <w:lang w:val="fr-FR" w:eastAsia="en-US" w:bidi="ar-SA"/>
                    </w:rPr>
                    <w:t>Distinguer les IAG de</w:t>
                  </w:r>
                  <w:r>
                    <w:rPr>
                      <w:rFonts w:eastAsia="Calibri" w:cs="" w:cstheme="minorBidi" w:eastAsiaTheme="minorHAnsi"/>
                      <w:color w:val="auto"/>
                      <w:kern w:val="2"/>
                      <w:sz w:val="22"/>
                      <w:szCs w:val="22"/>
                      <w:lang w:val="fr-FR" w:eastAsia="en-US" w:bidi="ar-SA"/>
                      <w14:ligatures w14:val="standardContextual"/>
                    </w:rPr>
                    <w:t>s mo</w:t>
                  </w:r>
                  <w:r>
                    <w:rPr>
                      <w:rFonts w:eastAsia="Calibri" w:cs=""/>
                      <w:kern w:val="2"/>
                      <w:sz w:val="22"/>
                      <w:szCs w:val="22"/>
                      <w:lang w:val="fr-FR" w:eastAsia="en-US" w:bidi="ar-SA"/>
                    </w:rPr>
                    <w:t>teurs de recherche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2"/>
                      <w:sz w:val="22"/>
                      <w:szCs w:val="22"/>
                      <w:lang w:val="fr-FR" w:eastAsia="en-US" w:bidi="ar-SA"/>
                    </w:rPr>
                  </w:pPr>
                  <w:r>
                    <w:rPr>
                      <w:rFonts w:eastAsia="Calibri" w:cs=""/>
                      <w:kern w:val="2"/>
                      <w:sz w:val="22"/>
                      <w:szCs w:val="22"/>
                      <w:lang w:val="fr-FR" w:eastAsia="en-US" w:bidi="ar-SA"/>
                    </w:rPr>
                    <w:t>Avoir conscience que les données utilisées par l’IAG proviennent de sources numériques diverses, comme celles des moteurs de recherche.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2"/>
                      <w:sz w:val="22"/>
                      <w:szCs w:val="22"/>
                      <w:lang w:val="fr-FR" w:eastAsia="en-US" w:bidi="ar-SA"/>
                    </w:rPr>
                  </w:pPr>
                  <w:r>
                    <w:rPr>
                      <w:rFonts w:eastAsia="Calibri" w:cs=""/>
                      <w:kern w:val="2"/>
                      <w:sz w:val="22"/>
                      <w:szCs w:val="22"/>
                      <w:lang w:val="fr-FR" w:eastAsia="en-US" w:bidi="ar-SA"/>
                    </w:rPr>
                    <w:t>Connaître les algorithmes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2"/>
                      <w:sz w:val="22"/>
                      <w:szCs w:val="22"/>
                      <w:lang w:val="fr-FR" w:eastAsia="en-US" w:bidi="ar-SA"/>
                    </w:rPr>
                  </w:pPr>
                  <w:r>
                    <w:rPr>
                      <w:rFonts w:eastAsia="Calibri" w:cs=""/>
                      <w:kern w:val="2"/>
                      <w:sz w:val="22"/>
                      <w:szCs w:val="22"/>
                      <w:lang w:val="fr-FR" w:eastAsia="en-US" w:bidi="ar-SA"/>
                    </w:rPr>
                  </w:r>
                </w:p>
              </w:tc>
              <w:tc>
                <w:tcPr>
                  <w:tcW w:w="3414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2"/>
                      <w:sz w:val="22"/>
                      <w:szCs w:val="22"/>
                      <w:lang w:val="fr-FR" w:eastAsia="en-US" w:bidi="ar-SA"/>
                    </w:rPr>
                  </w:pPr>
                  <w:r>
                    <w:rPr>
                      <w:rFonts w:eastAsia="Calibri" w:cs=""/>
                      <w:kern w:val="2"/>
                      <w:sz w:val="22"/>
                      <w:szCs w:val="22"/>
                      <w:lang w:val="fr-FR" w:eastAsia="en-US" w:bidi="ar-SA"/>
                    </w:rPr>
                  </w:r>
                </w:p>
              </w:tc>
            </w:tr>
            <w:tr>
              <w:trPr>
                <w:trHeight w:val="635" w:hRule="atLeast"/>
              </w:trPr>
              <w:tc>
                <w:tcPr>
                  <w:tcW w:w="3402" w:type="dxa"/>
                  <w:tcBorders>
                    <w:top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2"/>
                      <w:sz w:val="22"/>
                      <w:szCs w:val="22"/>
                      <w:lang w:val="fr-FR" w:eastAsia="en-US" w:bidi="ar-SA"/>
                    </w:rPr>
                  </w:pPr>
                  <w:r>
                    <w:rPr>
                      <w:rFonts w:eastAsia="Calibri" w:cs=""/>
                      <w:kern w:val="2"/>
                      <w:sz w:val="22"/>
                      <w:szCs w:val="22"/>
                      <w:lang w:val="fr-FR" w:eastAsia="en-US" w:bidi="ar-SA"/>
                    </w:rPr>
                    <w:t>CRCN</w:t>
                  </w:r>
                </w:p>
              </w:tc>
              <w:tc>
                <w:tcPr>
                  <w:tcW w:w="3414" w:type="dxa"/>
                  <w:tcBorders>
                    <w:top w:val="nil"/>
                  </w:tcBorders>
                  <w:vAlign w:val="center"/>
                </w:tcPr>
                <w:p>
                  <w:pPr>
                    <w:pStyle w:val="Titre3"/>
                    <w:widowControl w:val="fals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2"/>
                      <w:sz w:val="22"/>
                      <w:szCs w:val="22"/>
                      <w:lang w:val="fr-FR" w:eastAsia="en-US" w:bidi="ar-SA"/>
                    </w:rPr>
                  </w:pPr>
                  <w:r>
                    <w:rPr>
                      <w:rFonts w:ascii="Open Sans;Arial;sans-serif" w:hAnsi="Open Sans;Arial;sans-serif"/>
                      <w:b w:val="false"/>
                      <w:i w:val="false"/>
                      <w:caps w:val="false"/>
                      <w:smallCaps w:val="false"/>
                      <w:color w:val="6B778C"/>
                      <w:spacing w:val="0"/>
                      <w:sz w:val="23"/>
                    </w:rPr>
                    <w:t>S’insérer dans le monde numérique</w:t>
                  </w:r>
                </w:p>
                <w:p>
                  <w:pPr>
                    <w:pStyle w:val="Titre3"/>
                    <w:widowControl w:val="fals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2"/>
                      <w:sz w:val="22"/>
                      <w:szCs w:val="22"/>
                      <w:lang w:val="fr-FR" w:eastAsia="en-US" w:bidi="ar-SA"/>
                    </w:rPr>
                  </w:pPr>
                  <w:r>
                    <w:rPr>
                      <w:rFonts w:ascii="Open Sans;Arial;sans-serif" w:hAnsi="Open Sans;Arial;sans-serif"/>
                      <w:b w:val="false"/>
                      <w:i w:val="false"/>
                      <w:caps w:val="false"/>
                      <w:smallCaps w:val="false"/>
                      <w:color w:val="6B778C"/>
                      <w:spacing w:val="0"/>
                      <w:sz w:val="23"/>
                    </w:rPr>
                    <w:t>Mener une recherche et une veille d’information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2"/>
                      <w:sz w:val="22"/>
                      <w:szCs w:val="22"/>
                      <w:lang w:val="fr-FR" w:eastAsia="en-US" w:bidi="ar-SA"/>
                    </w:rPr>
                  </w:pPr>
                  <w:r>
                    <w:rPr>
                      <w:rFonts w:eastAsia="Calibri" w:cs=""/>
                      <w:kern w:val="2"/>
                      <w:sz w:val="22"/>
                      <w:szCs w:val="22"/>
                      <w:lang w:val="fr-FR" w:eastAsia="en-US" w:bidi="ar-SA"/>
                    </w:rPr>
                  </w:r>
                </w:p>
              </w:tc>
              <w:tc>
                <w:tcPr>
                  <w:tcW w:w="3414" w:type="dxa"/>
                  <w:tcBorders>
                    <w:top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2"/>
                      <w:sz w:val="22"/>
                      <w:szCs w:val="22"/>
                      <w:lang w:val="fr-FR" w:eastAsia="en-US" w:bidi="ar-SA"/>
                    </w:rPr>
                  </w:pPr>
                  <w:r>
                    <w:rPr>
                      <w:rFonts w:eastAsia="Calibri" w:cs=""/>
                      <w:kern w:val="2"/>
                      <w:sz w:val="22"/>
                      <w:szCs w:val="22"/>
                      <w:lang w:val="fr-FR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rlito-Bold" w:hAnsi="Carlito-Bold" w:cs="Carlito-Bold"/>
                <w:b/>
                <w:b/>
                <w:bCs/>
                <w:color w:val="000000"/>
                <w:kern w:val="0"/>
              </w:rPr>
            </w:pPr>
            <w:r>
              <w:rPr>
                <w:rFonts w:eastAsia="Calibri" w:cs="Carlito-Bold" w:ascii="Carlito-Bold" w:hAnsi="Carlito-Bold"/>
                <w:b/>
                <w:bCs/>
                <w:color w:val="000000"/>
                <w:kern w:val="0"/>
                <w:sz w:val="22"/>
                <w:szCs w:val="22"/>
                <w:lang w:val="fr-FR" w:eastAsia="en-US" w:bidi="ar-SA"/>
              </w:rPr>
              <w:t>Déroulé 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rlito-Bold" w:hAnsi="Carlito-Bold" w:cs="Carlito-Bold"/>
                <w:b/>
                <w:b/>
                <w:bCs/>
                <w:color w:val="000000"/>
                <w:kern w:val="0"/>
              </w:rPr>
            </w:pPr>
            <w:r>
              <w:rPr>
                <w:rFonts w:cs="Carlito-Bold" w:ascii="Carlito-Bold" w:hAnsi="Carlito-Bold"/>
                <w:b w:val="false"/>
                <w:bCs w:val="false"/>
                <w:color w:val="000000"/>
                <w:kern w:val="0"/>
              </w:rPr>
              <w:t>L’activité s’organise en 5 temps 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rlito-Bold" w:hAnsi="Carlito-Bold" w:cs="Carlito-Bold"/>
                <w:b/>
                <w:b/>
                <w:bCs/>
                <w:color w:val="000000"/>
                <w:kern w:val="0"/>
              </w:rPr>
            </w:pPr>
            <w:r>
              <w:rPr>
                <w:rFonts w:cs="Carlito-Bold" w:ascii="Carlito-Bold" w:hAnsi="Carlito-Bold"/>
                <w:b w:val="false"/>
                <w:bCs w:val="false"/>
                <w:color w:val="000000"/>
                <w:kern w:val="0"/>
              </w:rPr>
              <w:t>Rappel de ce qui a été vu précédemment et dont les connaissances sont nécessaires durant cette activité.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rlito-Bold" w:hAnsi="Carlito-Bold" w:cs="Carlito-Bold"/>
                <w:b/>
                <w:b/>
                <w:bCs/>
                <w:color w:val="000000"/>
                <w:kern w:val="0"/>
              </w:rPr>
            </w:pPr>
            <w:r>
              <w:rPr>
                <w:rFonts w:cs="Carlito-Bold" w:ascii="Carlito-Bold" w:hAnsi="Carlito-Bold"/>
                <w:b w:val="false"/>
                <w:bCs w:val="false"/>
                <w:color w:val="000000"/>
                <w:kern w:val="0"/>
              </w:rPr>
              <w:t>Contextualisation de l’arrivée de l’IAG qui est un nouveau mode d’accès à l’information numérique. Ajout des dates : 1956 pour le concept de « intelligence artificielle » (la recherche a été réalisée durant la séance précédente ) et 2022 pour l’IAG.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rlito-Bold" w:hAnsi="Carlito-Bold" w:cs="Carlito-Bold"/>
                <w:b/>
                <w:b/>
                <w:bCs/>
                <w:color w:val="000000"/>
                <w:kern w:val="0"/>
              </w:rPr>
            </w:pPr>
            <w:r>
              <w:rPr>
                <w:rFonts w:cs="Carlito-Bold" w:ascii="Carlito-Bold" w:hAnsi="Carlito-Bold"/>
                <w:b w:val="false"/>
                <w:bCs w:val="false"/>
                <w:color w:val="000000"/>
                <w:kern w:val="0"/>
              </w:rPr>
              <w:t>Visionnage de deux vidéos pour compléter le 2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rlito-Bold" w:hAnsi="Carlito-Bold" w:cs="Carlito-Bold"/>
                <w:b/>
                <w:b/>
                <w:bCs/>
                <w:color w:val="000000"/>
                <w:kern w:val="0"/>
              </w:rPr>
            </w:pPr>
            <w:r>
              <w:rPr>
                <w:rFonts w:cs="Carlito-Bold" w:ascii="Carlito-Bold" w:hAnsi="Carlito-Bold"/>
                <w:b w:val="false"/>
                <w:bCs w:val="false"/>
                <w:color w:val="000000"/>
                <w:kern w:val="0"/>
              </w:rPr>
              <w:t xml:space="preserve">Ensuite les élèves vont aux ordinateurs pour faire les exercices 1 et 2 : ils comparent à l’oral les interfaces et les résultats proposés entre le moteur de recherche et l’IAG utilisé, se posent la question de leur confiance en l’information affichée. </w:t>
            </w:r>
            <w:r>
              <w:rPr>
                <w:rFonts w:cs="Carlito-Bold" w:ascii="Carlito-Bold" w:hAnsi="Carlito-Bold"/>
                <w:b w:val="false"/>
                <w:bCs w:val="false"/>
                <w:color w:val="000000"/>
                <w:kern w:val="0"/>
              </w:rPr>
              <w:t>Ils rédigent un prompt pour connaître les sources utilisées par l’IAG si elles ne sont pas affichées.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rlito-Bold" w:hAnsi="Carlito-Bold" w:cs="Carlito-Bold"/>
                <w:b/>
                <w:b/>
                <w:bCs/>
                <w:color w:val="000000"/>
                <w:kern w:val="0"/>
              </w:rPr>
            </w:pPr>
            <w:r>
              <w:rPr>
                <w:rFonts w:cs="Carlito-Bold" w:ascii="Carlito-Bold" w:hAnsi="Carlito-Bold"/>
                <w:b w:val="false"/>
                <w:bCs w:val="false"/>
                <w:color w:val="000000"/>
                <w:kern w:val="0"/>
              </w:rPr>
              <w:t>Enfin, ils se rassoient à leur place. Pour conclure la séance, ils proposent les réponses du tableau « Ce qui a été dit ».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rlito-Bold" w:hAnsi="Carlito-Bold" w:cs="Carlito-Bold"/>
                <w:b/>
                <w:b/>
                <w:bCs/>
                <w:color w:val="000000"/>
                <w:kern w:val="0"/>
              </w:rPr>
            </w:pPr>
            <w:r>
              <w:rPr>
                <w:rFonts w:cs="Carlito-Bold" w:ascii="Carlito-Bold" w:hAnsi="Carlito-Bold"/>
                <w:b/>
                <w:bCs/>
                <w:color w:val="000000"/>
                <w:kern w:val="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rlito-Bold" w:hAnsi="Carlito-Bold" w:cs="Carlito-Bold"/>
                <w:b/>
                <w:b/>
                <w:bCs/>
                <w:color w:val="000000"/>
                <w:kern w:val="0"/>
              </w:rPr>
            </w:pPr>
            <w:r>
              <w:rPr>
                <w:rFonts w:eastAsia="Calibri" w:cs="Carlito-Bold" w:ascii="Carlito-Bold" w:hAnsi="Carlito-Bold"/>
                <w:b/>
                <w:bCs/>
                <w:color w:val="000000"/>
                <w:kern w:val="0"/>
                <w:sz w:val="22"/>
                <w:szCs w:val="22"/>
                <w:lang w:val="fr-FR" w:eastAsia="en-US" w:bidi="ar-SA"/>
              </w:rPr>
              <w:t>Évaluation (type, modalités) 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rlito-Bold" w:hAnsi="Carlito-Bold" w:cs="Carlito-Bold"/>
                <w:b/>
                <w:b/>
                <w:bCs/>
                <w:color w:val="000000"/>
                <w:kern w:val="0"/>
              </w:rPr>
            </w:pPr>
            <w:r>
              <w:rPr>
                <w:rFonts w:eastAsia="Calibri" w:cs="Carlito-Bold" w:ascii="Carlito-Bold" w:hAnsi="Carlito-Bold"/>
                <w:b w:val="false"/>
                <w:bCs w:val="false"/>
                <w:color w:val="000000"/>
                <w:kern w:val="0"/>
                <w:sz w:val="22"/>
                <w:szCs w:val="22"/>
                <w:lang w:val="fr-FR" w:eastAsia="en-US" w:bidi="ar-SA"/>
              </w:rPr>
              <w:t>L’évaluation se déroule lors de la séance suivante. Les élèves ont le même tableau mais les affirmations sont dans le désordre.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rlito-Bold" w:hAnsi="Carlito-Bold" w:cs="Carlito-Bold"/>
                <w:b/>
                <w:b/>
                <w:bCs/>
                <w:color w:val="000000"/>
                <w:kern w:val="0"/>
              </w:rPr>
            </w:pPr>
            <w:r>
              <w:rPr>
                <w:rFonts w:cs="Carlito-Bold" w:ascii="Carlito-Bold" w:hAnsi="Carlito-Bold"/>
                <w:b/>
                <w:bCs/>
                <w:color w:val="000000"/>
                <w:kern w:val="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rlito-Bold" w:hAnsi="Carlito-Bold" w:cs="Carlito-Bold"/>
                <w:b/>
                <w:b/>
                <w:bCs/>
                <w:color w:val="000000"/>
                <w:kern w:val="0"/>
              </w:rPr>
            </w:pPr>
            <w:r>
              <w:rPr>
                <w:rFonts w:cs="Carlito-Bold" w:ascii="Carlito-Bold" w:hAnsi="Carlito-Bold"/>
                <w:b/>
                <w:bCs/>
                <w:color w:val="000000"/>
                <w:kern w:val="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rlito-Bold" w:hAnsi="Carlito-Bold" w:cs="Carlito-Bold"/>
                <w:b/>
                <w:b/>
                <w:bCs/>
                <w:color w:val="000000"/>
                <w:kern w:val="0"/>
              </w:rPr>
            </w:pPr>
            <w:r>
              <w:rPr>
                <w:rFonts w:eastAsia="Calibri" w:cs="Carlito-Bold" w:ascii="Carlito-Bold" w:hAnsi="Carlito-Bold"/>
                <w:b/>
                <w:bCs/>
                <w:color w:val="000000"/>
                <w:kern w:val="0"/>
                <w:sz w:val="22"/>
                <w:szCs w:val="22"/>
                <w:lang w:val="fr-FR" w:eastAsia="en-US" w:bidi="ar-SA"/>
              </w:rPr>
              <w:t>Scénario 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rlito-Bold" w:hAnsi="Carlito-Bold" w:cs="Carlito-Bold"/>
                <w:b/>
                <w:b/>
                <w:bCs/>
                <w:kern w:val="0"/>
              </w:rPr>
            </w:pPr>
            <w:r>
              <w:rPr>
                <w:rFonts w:eastAsia="Calibri" w:cs="Carlito-Bold" w:ascii="Carlito-Bold" w:hAnsi="Carlito-Bold"/>
                <w:b/>
                <w:bCs/>
                <w:kern w:val="0"/>
                <w:sz w:val="22"/>
                <w:szCs w:val="22"/>
                <w:lang w:val="fr-FR" w:eastAsia="en-US" w:bidi="ar-SA"/>
              </w:rPr>
              <w:t>Lien vers la publication sur le site académique 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rlito" w:hAnsi="Carlito" w:cs="Carlito"/>
                <w:kern w:val="0"/>
              </w:rPr>
            </w:pPr>
            <w:r>
              <w:rPr>
                <w:rFonts w:eastAsia="Calibri" w:cs="Carlito" w:ascii="Carlito" w:hAnsi="Carlito"/>
                <w:kern w:val="0"/>
                <w:sz w:val="22"/>
                <w:szCs w:val="22"/>
                <w:lang w:val="fr-FR" w:eastAsia="en-US" w:bidi="ar-SA"/>
              </w:rPr>
              <w:t>Lien vers le site de l’académie binôme : http://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rlito-Bold" w:hAnsi="Carlito-Bold" w:cs="Carlito-Bold"/>
                <w:b/>
                <w:b/>
                <w:bCs/>
                <w:kern w:val="0"/>
              </w:rPr>
            </w:pPr>
            <w:r>
              <w:rPr>
                <w:rFonts w:eastAsia="Calibri" w:cs="Carlito-Bold" w:ascii="Carlito-Bold" w:hAnsi="Carlito-Bold"/>
                <w:b/>
                <w:bCs/>
                <w:kern w:val="0"/>
                <w:sz w:val="22"/>
                <w:szCs w:val="22"/>
                <w:lang w:val="fr-FR" w:eastAsia="en-US" w:bidi="ar-SA"/>
              </w:rPr>
              <w:t>Lien vers la fiche Édubase 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rlito-Bold" w:hAnsi="Carlito-Bold" w:cs="Carlito-Bold"/>
                <w:b/>
                <w:b/>
                <w:bCs/>
                <w:color w:val="000000"/>
                <w:kern w:val="0"/>
              </w:rPr>
            </w:pPr>
            <w:r>
              <w:rPr>
                <w:rFonts w:eastAsia="Calibri" w:cs="Carlito-Bold" w:ascii="Carlito-Bold" w:hAnsi="Carlito-Bold"/>
                <w:b/>
                <w:bCs/>
                <w:color w:val="000000"/>
                <w:kern w:val="0"/>
                <w:sz w:val="22"/>
                <w:szCs w:val="22"/>
                <w:lang w:val="fr-FR" w:eastAsia="en-US" w:bidi="ar-SA"/>
              </w:rPr>
              <w:t>Analyse réflexive sur la séquence 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rlito-Bold" w:hAnsi="Carlito-Bold" w:cs="Carlito-Bold"/>
                <w:b/>
                <w:b/>
                <w:bCs/>
                <w:color w:val="000000"/>
                <w:kern w:val="0"/>
              </w:rPr>
            </w:pPr>
            <w:r>
              <w:rPr>
                <w:rFonts w:eastAsia="Calibri" w:cs="Carlito-Bold" w:ascii="Carlito" w:hAnsi="Carlito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6"/>
                <w:szCs w:val="26"/>
                <w:lang w:val="fr-FR" w:eastAsia="en-US" w:bidi="ar-SA"/>
              </w:rPr>
              <w:t>Cette activité pédagogique d'une heure s’insère entre une activité pédagogique sur les moteurs de recherche et une autre sur les sources.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rlito-Bold" w:hAnsi="Carlito-Bold" w:cs="Carlito-Bold"/>
                <w:b/>
                <w:b/>
                <w:bCs/>
                <w:color w:val="000000"/>
                <w:kern w:val="0"/>
              </w:rPr>
            </w:pPr>
            <w:r>
              <w:rPr>
                <w:rFonts w:eastAsia="Calibri" w:cs="Carlito-Bold" w:ascii="Carlito" w:hAnsi="Carlito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6"/>
                <w:szCs w:val="26"/>
                <w:lang w:val="fr-FR" w:eastAsia="en-US" w:bidi="ar-SA"/>
              </w:rPr>
              <w:t xml:space="preserve"> </w:t>
            </w:r>
            <w:r>
              <w:rPr>
                <w:rFonts w:eastAsia="Calibri" w:cs="Carlito-Bold" w:ascii="Carlito" w:hAnsi="Carlito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6"/>
                <w:szCs w:val="26"/>
                <w:lang w:val="fr-FR" w:eastAsia="en-US" w:bidi="ar-SA"/>
              </w:rPr>
              <w:t>La recherche porte sur le nom du collège, ainsi les élèves peuvent comparer l’information générée avec celle qui est publiée sur l’ENT de leur collège. Ils observent qu’il y a des erreurs, que certains élèves ont 18 sources pour générer une réponse alors que d’autres n’ont aucune source mentionnée par l’outil d’IAG.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rlito-Bold" w:hAnsi="Carlito-Bold" w:cs="Carlito-Bold"/>
                <w:b/>
                <w:b/>
                <w:bCs/>
                <w:color w:val="000000"/>
                <w:kern w:val="0"/>
              </w:rPr>
            </w:pPr>
            <w:r>
              <w:rPr>
                <w:rFonts w:eastAsia="Calibri" w:cs="Carlito-Bold" w:ascii="Carlito" w:hAnsi="Carlito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6"/>
                <w:szCs w:val="26"/>
                <w:lang w:val="fr-FR" w:eastAsia="en-US" w:bidi="ar-SA"/>
              </w:rPr>
              <w:t>Ainsi, avec le même prompt, les élèves auront des réponses différentes avec des sources différentes.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 w:ascii="Carlito" w:hAnsi="Carlito"/>
                <w:b w:val="false"/>
                <w:bCs w:val="false"/>
                <w:i w:val="false"/>
                <w:caps w:val="false"/>
                <w:smallCaps w:val="false"/>
                <w:color w:val="3A3A3A"/>
                <w:spacing w:val="0"/>
                <w:kern w:val="2"/>
                <w:sz w:val="26"/>
                <w:szCs w:val="26"/>
                <w:lang w:val="fr-FR" w:eastAsia="en-US" w:bidi="ar-SA"/>
              </w:rPr>
              <w:t>L'enseignant devra porter l'attention des élèves sur le fait qu</w:t>
            </w:r>
            <w:r>
              <w:rPr>
                <w:rFonts w:eastAsia="Calibri" w:cs="" w:ascii="Carlito" w:hAnsi="Carlito" w:cstheme="minorBidi" w:eastAsiaTheme="minorHAnsi"/>
                <w:b w:val="false"/>
                <w:bCs w:val="false"/>
                <w:i w:val="false"/>
                <w:caps w:val="false"/>
                <w:smallCaps w:val="false"/>
                <w:color w:val="3A3A3A"/>
                <w:spacing w:val="0"/>
                <w:kern w:val="2"/>
                <w:sz w:val="26"/>
                <w:szCs w:val="26"/>
                <w:lang w:val="fr-FR" w:eastAsia="en-US" w:bidi="ar-SA"/>
                <w14:ligatures w14:val="standardContextual"/>
              </w:rPr>
              <w:t>e les moteurs de recherche et les outils d’IAG s</w:t>
            </w:r>
            <w:r>
              <w:rPr>
                <w:rFonts w:eastAsia="Calibri" w:cs="" w:ascii="Carlito" w:hAnsi="Carlito"/>
                <w:b w:val="false"/>
                <w:bCs w:val="false"/>
                <w:i w:val="false"/>
                <w:caps w:val="false"/>
                <w:smallCaps w:val="false"/>
                <w:color w:val="3A3A3A"/>
                <w:spacing w:val="0"/>
                <w:kern w:val="2"/>
                <w:sz w:val="26"/>
                <w:szCs w:val="26"/>
                <w:lang w:val="fr-FR" w:eastAsia="en-US" w:bidi="ar-SA"/>
              </w:rPr>
              <w:t>ont en perpétuelle évolution et qu'ils se nourrissent les uns les autres.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rlito-Bold" w:hAnsi="Carlito-Bold" w:cs="Carlito-Bold"/>
                <w:b/>
                <w:b/>
                <w:bCs/>
                <w:kern w:val="0"/>
              </w:rPr>
            </w:pPr>
            <w:r>
              <w:rPr>
                <w:rFonts w:cs="Carlito-Bold" w:ascii="Carlito-Bold" w:hAnsi="Carlito-Bold"/>
                <w:b/>
                <w:bCs/>
                <w:kern w:val="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14"/>
          <w:szCs w:val="14"/>
        </w:rPr>
      </w:pPr>
      <w:r>
        <w:rPr/>
      </w:r>
    </w:p>
    <w:sectPr>
      <w:type w:val="nextPage"/>
      <w:pgSz w:w="11906" w:h="16838"/>
      <w:pgMar w:left="720" w:right="720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DejaVuSans-Bold">
    <w:charset w:val="00"/>
    <w:family w:val="roman"/>
    <w:pitch w:val="variable"/>
  </w:font>
  <w:font w:name="Carlito-Bold">
    <w:charset w:val="00"/>
    <w:family w:val="roman"/>
    <w:pitch w:val="variable"/>
  </w:font>
  <w:font w:name="Marianne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Open Sans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fr-FR" w:eastAsia="en-US" w:bidi="ar-SA"/>
      <w14:ligatures w14:val="standardContextual"/>
    </w:rPr>
  </w:style>
  <w:style w:type="paragraph" w:styleId="Titre1">
    <w:name w:val="Heading 1"/>
    <w:basedOn w:val="Titre"/>
    <w:next w:val="Corpsdetexte"/>
    <w:qFormat/>
    <w:pPr>
      <w:spacing w:before="240" w:after="120"/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itre3">
    <w:name w:val="Heading 3"/>
    <w:basedOn w:val="Titre"/>
    <w:next w:val="Corpsdetexte"/>
    <w:qFormat/>
    <w:pPr>
      <w:spacing w:before="140" w:after="120"/>
      <w:outlineLvl w:val="2"/>
    </w:pPr>
    <w:rPr>
      <w:rFonts w:ascii="Liberation Serif" w:hAnsi="Liberation Serif" w:eastAsia="Tahoma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Hyperlink"/>
    <w:basedOn w:val="DefaultParagraphFont"/>
    <w:uiPriority w:val="99"/>
    <w:unhideWhenUsed/>
    <w:rsid w:val="004a0e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a0ef0"/>
    <w:rPr>
      <w:color w:val="605E5C"/>
      <w:shd w:fill="E1DFDD" w:val="clear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Caractresdenumrotation">
    <w:name w:val="Caractères de numérotation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Noto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uiPriority w:val="34"/>
    <w:qFormat/>
    <w:rsid w:val="004a0ef0"/>
    <w:pPr>
      <w:spacing w:before="0" w:after="160"/>
      <w:ind w:left="720" w:hanging="0"/>
      <w:contextualSpacing/>
    </w:pPr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b552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duscol.education.fr/721/evaluer-et-certifier-les-competences-numeriques" TargetMode="External"/><Relationship Id="rId3" Type="http://schemas.openxmlformats.org/officeDocument/2006/relationships/hyperlink" Target="https://eduscol.education.fr/1531/education-aux-medias-et-l-information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Application>LibreOffice/7.4.0.3$Windows_X86_64 LibreOffice_project/f85e47c08ddd19c015c0114a68350214f7066f5a</Application>
  <AppVersion>15.0000</AppVersion>
  <Pages>2</Pages>
  <Words>665</Words>
  <Characters>3593</Characters>
  <CharactersWithSpaces>4194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2024-01-17T09:16:00Z</dcterms:created>
  <dc:creator>Celine Tasserit</dc:creator>
  <dc:description/>
  <dc:language>fr-FR</dc:language>
  <cp:lastModifiedBy/>
  <dcterms:modified xsi:type="dcterms:W3CDTF">2025-05-19T09:00:22Z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