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6CF" w:rsidRPr="00D2411C" w:rsidRDefault="007E26CF" w:rsidP="007E26CF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D2411C">
        <w:rPr>
          <w:b/>
          <w:sz w:val="24"/>
          <w:szCs w:val="24"/>
          <w:lang w:val="es-ES_tradnl"/>
        </w:rPr>
        <w:t>ACTIVIDAD 2: UN EJEMPLO DE CONFLICTO: EL TRASVASE TAJO-SEGURA</w:t>
      </w:r>
    </w:p>
    <w:p w:rsidR="007E26CF" w:rsidRPr="00D2411C" w:rsidRDefault="007E26CF" w:rsidP="007E26CF">
      <w:pPr>
        <w:spacing w:line="240" w:lineRule="auto"/>
        <w:jc w:val="both"/>
        <w:rPr>
          <w:b/>
          <w:sz w:val="24"/>
          <w:szCs w:val="24"/>
          <w:lang w:val="es-ES_tradnl"/>
        </w:rPr>
      </w:pPr>
    </w:p>
    <w:p w:rsidR="007E26CF" w:rsidRPr="00B33401" w:rsidRDefault="007E26CF" w:rsidP="007E26CF">
      <w:pPr>
        <w:spacing w:line="240" w:lineRule="auto"/>
        <w:jc w:val="both"/>
        <w:rPr>
          <w:b/>
          <w:sz w:val="24"/>
          <w:szCs w:val="24"/>
          <w:lang w:val="fr-FR"/>
        </w:rPr>
      </w:pPr>
      <w:r w:rsidRPr="00B33401">
        <w:rPr>
          <w:b/>
          <w:sz w:val="24"/>
          <w:szCs w:val="24"/>
          <w:lang w:val="fr-FR"/>
        </w:rPr>
        <w:t>Capacités et compétences : analyser une vidéo et identifier les différents acteurs d’un conflit et ses arguments.</w:t>
      </w:r>
    </w:p>
    <w:p w:rsidR="007E26CF" w:rsidRPr="00B33401" w:rsidRDefault="007E26CF" w:rsidP="007E26CF">
      <w:pPr>
        <w:spacing w:line="240" w:lineRule="auto"/>
        <w:jc w:val="both"/>
        <w:rPr>
          <w:b/>
          <w:i/>
          <w:sz w:val="24"/>
          <w:szCs w:val="24"/>
          <w:lang w:val="fr-FR"/>
        </w:rPr>
      </w:pPr>
    </w:p>
    <w:p w:rsidR="007E26CF" w:rsidRPr="00D2411C" w:rsidRDefault="007E26CF" w:rsidP="007E26CF">
      <w:pPr>
        <w:spacing w:line="240" w:lineRule="auto"/>
        <w:rPr>
          <w:sz w:val="24"/>
          <w:szCs w:val="24"/>
          <w:lang w:val="es-ES_tradnl"/>
        </w:rPr>
      </w:pPr>
      <w:r w:rsidRPr="00D2411C">
        <w:rPr>
          <w:sz w:val="24"/>
          <w:szCs w:val="24"/>
          <w:lang w:val="es-ES_tradnl"/>
        </w:rPr>
        <w:t xml:space="preserve">Video: </w:t>
      </w:r>
      <w:hyperlink r:id="rId7" w:history="1">
        <w:r w:rsidRPr="00D2411C">
          <w:rPr>
            <w:rStyle w:val="Lienhypertexte"/>
            <w:sz w:val="24"/>
            <w:szCs w:val="24"/>
            <w:lang w:val="es-ES_tradnl"/>
          </w:rPr>
          <w:t>https://www.rtve.es/play/videos/telediario/vuelve-guerra-agua-trasvase-tajo-segura/6774019/</w:t>
        </w:r>
      </w:hyperlink>
    </w:p>
    <w:p w:rsidR="007E26CF" w:rsidRPr="00D2411C" w:rsidRDefault="007E26CF" w:rsidP="007E26CF">
      <w:pPr>
        <w:spacing w:line="240" w:lineRule="auto"/>
        <w:jc w:val="both"/>
        <w:rPr>
          <w:sz w:val="24"/>
          <w:szCs w:val="24"/>
          <w:lang w:val="es-ES_tradnl"/>
        </w:rPr>
      </w:pPr>
    </w:p>
    <w:p w:rsidR="007E26CF" w:rsidRPr="007E26CF" w:rsidRDefault="007E26CF" w:rsidP="007E26CF">
      <w:pPr>
        <w:jc w:val="both"/>
        <w:rPr>
          <w:i/>
          <w:iCs/>
          <w:lang w:val="fr-FR"/>
        </w:rPr>
      </w:pPr>
      <w:proofErr w:type="spellStart"/>
      <w:r w:rsidRPr="007E26CF">
        <w:rPr>
          <w:i/>
          <w:iCs/>
          <w:lang w:val="fr-FR"/>
        </w:rPr>
        <w:t>Sinopsis</w:t>
      </w:r>
      <w:proofErr w:type="spellEnd"/>
      <w:r w:rsidRPr="007E26CF">
        <w:rPr>
          <w:i/>
          <w:iCs/>
          <w:lang w:val="fr-FR"/>
        </w:rPr>
        <w:t xml:space="preserve"> </w:t>
      </w:r>
    </w:p>
    <w:p w:rsidR="007E26CF" w:rsidRPr="007E26CF" w:rsidRDefault="007E26CF" w:rsidP="007E26CF">
      <w:pPr>
        <w:jc w:val="both"/>
        <w:rPr>
          <w:i/>
          <w:iCs/>
          <w:lang w:val="fr-FR"/>
        </w:rPr>
      </w:pPr>
      <w:r w:rsidRPr="007E26CF">
        <w:rPr>
          <w:i/>
          <w:iCs/>
          <w:lang w:val="fr-FR"/>
        </w:rPr>
        <w:t xml:space="preserve">Miles de regantes de la </w:t>
      </w:r>
      <w:proofErr w:type="spellStart"/>
      <w:r w:rsidRPr="007E26CF">
        <w:rPr>
          <w:i/>
          <w:iCs/>
          <w:lang w:val="fr-FR"/>
        </w:rPr>
        <w:t>Comunidad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Valenciana</w:t>
      </w:r>
      <w:proofErr w:type="spellEnd"/>
      <w:r w:rsidRPr="007E26CF">
        <w:rPr>
          <w:i/>
          <w:iCs/>
          <w:lang w:val="fr-FR"/>
        </w:rPr>
        <w:t xml:space="preserve">, Murcia y </w:t>
      </w:r>
      <w:proofErr w:type="spellStart"/>
      <w:r w:rsidRPr="007E26CF">
        <w:rPr>
          <w:i/>
          <w:iCs/>
          <w:lang w:val="fr-FR"/>
        </w:rPr>
        <w:t>Andalucía</w:t>
      </w:r>
      <w:proofErr w:type="spellEnd"/>
      <w:r w:rsidRPr="007E26CF">
        <w:rPr>
          <w:i/>
          <w:iCs/>
          <w:lang w:val="fr-FR"/>
        </w:rPr>
        <w:t xml:space="preserve"> se han </w:t>
      </w:r>
      <w:proofErr w:type="spellStart"/>
      <w:r w:rsidRPr="007E26CF">
        <w:rPr>
          <w:i/>
          <w:iCs/>
          <w:lang w:val="fr-FR"/>
        </w:rPr>
        <w:t>concentrado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frente</w:t>
      </w:r>
      <w:proofErr w:type="spellEnd"/>
      <w:r w:rsidRPr="007E26CF">
        <w:rPr>
          <w:i/>
          <w:iCs/>
          <w:lang w:val="fr-FR"/>
        </w:rPr>
        <w:t xml:space="preserve"> al </w:t>
      </w:r>
      <w:proofErr w:type="spellStart"/>
      <w:r w:rsidRPr="007E26CF">
        <w:rPr>
          <w:i/>
          <w:iCs/>
          <w:lang w:val="fr-FR"/>
        </w:rPr>
        <w:t>Ministerio</w:t>
      </w:r>
      <w:proofErr w:type="spellEnd"/>
      <w:r w:rsidRPr="007E26CF">
        <w:rPr>
          <w:i/>
          <w:iCs/>
          <w:lang w:val="fr-FR"/>
        </w:rPr>
        <w:t xml:space="preserve"> para la </w:t>
      </w:r>
      <w:proofErr w:type="spellStart"/>
      <w:r w:rsidRPr="007E26CF">
        <w:rPr>
          <w:i/>
          <w:iCs/>
          <w:lang w:val="fr-FR"/>
        </w:rPr>
        <w:t>Transición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Ecológica</w:t>
      </w:r>
      <w:proofErr w:type="spellEnd"/>
      <w:r w:rsidRPr="007E26CF">
        <w:rPr>
          <w:i/>
          <w:iCs/>
          <w:lang w:val="fr-FR"/>
        </w:rPr>
        <w:t xml:space="preserve">. </w:t>
      </w:r>
      <w:proofErr w:type="spellStart"/>
      <w:r w:rsidRPr="007E26CF">
        <w:rPr>
          <w:i/>
          <w:iCs/>
          <w:lang w:val="fr-FR"/>
        </w:rPr>
        <w:t>Temen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quedarse</w:t>
      </w:r>
      <w:proofErr w:type="spellEnd"/>
      <w:r w:rsidRPr="007E26CF">
        <w:rPr>
          <w:i/>
          <w:iCs/>
          <w:lang w:val="fr-FR"/>
        </w:rPr>
        <w:t xml:space="preserve"> sin </w:t>
      </w:r>
      <w:proofErr w:type="spellStart"/>
      <w:r w:rsidRPr="007E26CF">
        <w:rPr>
          <w:i/>
          <w:iCs/>
          <w:lang w:val="fr-FR"/>
        </w:rPr>
        <w:t>agua</w:t>
      </w:r>
      <w:proofErr w:type="spellEnd"/>
      <w:r w:rsidRPr="007E26CF">
        <w:rPr>
          <w:i/>
          <w:iCs/>
          <w:lang w:val="fr-FR"/>
        </w:rPr>
        <w:t xml:space="preserve"> si se </w:t>
      </w:r>
      <w:proofErr w:type="spellStart"/>
      <w:r w:rsidRPr="007E26CF">
        <w:rPr>
          <w:i/>
          <w:iCs/>
          <w:lang w:val="fr-FR"/>
        </w:rPr>
        <w:t>establece</w:t>
      </w:r>
      <w:proofErr w:type="spellEnd"/>
      <w:r w:rsidRPr="007E26CF">
        <w:rPr>
          <w:i/>
          <w:iCs/>
          <w:lang w:val="fr-FR"/>
        </w:rPr>
        <w:t xml:space="preserve"> un caudal </w:t>
      </w:r>
      <w:proofErr w:type="spellStart"/>
      <w:r w:rsidRPr="007E26CF">
        <w:rPr>
          <w:i/>
          <w:iCs/>
          <w:lang w:val="fr-FR"/>
        </w:rPr>
        <w:t>ecológico</w:t>
      </w:r>
      <w:proofErr w:type="spellEnd"/>
      <w:r w:rsidRPr="007E26CF">
        <w:rPr>
          <w:i/>
          <w:iCs/>
          <w:lang w:val="fr-FR"/>
        </w:rPr>
        <w:t xml:space="preserve"> para el Tajo. </w:t>
      </w:r>
      <w:proofErr w:type="spellStart"/>
      <w:r w:rsidRPr="007E26CF">
        <w:rPr>
          <w:i/>
          <w:iCs/>
          <w:lang w:val="fr-FR"/>
        </w:rPr>
        <w:t>Dirigentes</w:t>
      </w:r>
      <w:proofErr w:type="spellEnd"/>
      <w:r w:rsidRPr="007E26CF">
        <w:rPr>
          <w:i/>
          <w:iCs/>
          <w:lang w:val="fr-FR"/>
        </w:rPr>
        <w:t xml:space="preserve"> de </w:t>
      </w:r>
      <w:proofErr w:type="spellStart"/>
      <w:r w:rsidRPr="007E26CF">
        <w:rPr>
          <w:i/>
          <w:iCs/>
          <w:lang w:val="fr-FR"/>
        </w:rPr>
        <w:t>esas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regiones</w:t>
      </w:r>
      <w:proofErr w:type="spellEnd"/>
      <w:r w:rsidRPr="007E26CF">
        <w:rPr>
          <w:i/>
          <w:iCs/>
          <w:lang w:val="fr-FR"/>
        </w:rPr>
        <w:t xml:space="preserve">, </w:t>
      </w:r>
      <w:proofErr w:type="spellStart"/>
      <w:r w:rsidRPr="007E26CF">
        <w:rPr>
          <w:i/>
          <w:iCs/>
          <w:lang w:val="fr-FR"/>
        </w:rPr>
        <w:t>gobernadas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por</w:t>
      </w:r>
      <w:proofErr w:type="spellEnd"/>
      <w:r w:rsidRPr="007E26CF">
        <w:rPr>
          <w:i/>
          <w:iCs/>
          <w:lang w:val="fr-FR"/>
        </w:rPr>
        <w:t xml:space="preserve"> PP y PSOE, se han </w:t>
      </w:r>
      <w:proofErr w:type="spellStart"/>
      <w:r w:rsidRPr="007E26CF">
        <w:rPr>
          <w:i/>
          <w:iCs/>
          <w:lang w:val="fr-FR"/>
        </w:rPr>
        <w:t>sumado</w:t>
      </w:r>
      <w:proofErr w:type="spellEnd"/>
      <w:r w:rsidRPr="007E26CF">
        <w:rPr>
          <w:i/>
          <w:iCs/>
          <w:lang w:val="fr-FR"/>
        </w:rPr>
        <w:t xml:space="preserve"> a la protesta. El </w:t>
      </w:r>
      <w:proofErr w:type="spellStart"/>
      <w:r w:rsidRPr="007E26CF">
        <w:rPr>
          <w:i/>
          <w:iCs/>
          <w:lang w:val="fr-FR"/>
        </w:rPr>
        <w:t>Ministerio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defiende</w:t>
      </w:r>
      <w:proofErr w:type="spellEnd"/>
      <w:r w:rsidRPr="007E26CF">
        <w:rPr>
          <w:i/>
          <w:iCs/>
          <w:lang w:val="fr-FR"/>
        </w:rPr>
        <w:t xml:space="preserve"> </w:t>
      </w:r>
      <w:proofErr w:type="gramStart"/>
      <w:r w:rsidRPr="007E26CF">
        <w:rPr>
          <w:i/>
          <w:iCs/>
          <w:lang w:val="fr-FR"/>
        </w:rPr>
        <w:t>que es</w:t>
      </w:r>
      <w:proofErr w:type="gram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una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exigencia</w:t>
      </w:r>
      <w:proofErr w:type="spellEnd"/>
      <w:r w:rsidRPr="007E26CF">
        <w:rPr>
          <w:i/>
          <w:iCs/>
          <w:lang w:val="fr-FR"/>
        </w:rPr>
        <w:t xml:space="preserve"> de Europa y que es </w:t>
      </w:r>
      <w:proofErr w:type="spellStart"/>
      <w:r w:rsidRPr="007E26CF">
        <w:rPr>
          <w:i/>
          <w:iCs/>
          <w:lang w:val="fr-FR"/>
        </w:rPr>
        <w:t>necesario</w:t>
      </w:r>
      <w:proofErr w:type="spellEnd"/>
      <w:r w:rsidRPr="007E26CF">
        <w:rPr>
          <w:i/>
          <w:iCs/>
          <w:lang w:val="fr-FR"/>
        </w:rPr>
        <w:t xml:space="preserve"> para </w:t>
      </w:r>
      <w:proofErr w:type="spellStart"/>
      <w:r w:rsidRPr="007E26CF">
        <w:rPr>
          <w:i/>
          <w:iCs/>
          <w:lang w:val="fr-FR"/>
        </w:rPr>
        <w:t>proteger</w:t>
      </w:r>
      <w:proofErr w:type="spellEnd"/>
      <w:r w:rsidRPr="007E26CF">
        <w:rPr>
          <w:i/>
          <w:iCs/>
          <w:lang w:val="fr-FR"/>
        </w:rPr>
        <w:t xml:space="preserve"> los </w:t>
      </w:r>
      <w:proofErr w:type="spellStart"/>
      <w:r w:rsidRPr="007E26CF">
        <w:rPr>
          <w:i/>
          <w:iCs/>
          <w:lang w:val="fr-FR"/>
        </w:rPr>
        <w:t>sistemas</w:t>
      </w:r>
      <w:proofErr w:type="spellEnd"/>
      <w:r w:rsidRPr="007E26CF">
        <w:rPr>
          <w:i/>
          <w:iCs/>
          <w:lang w:val="fr-FR"/>
        </w:rPr>
        <w:t xml:space="preserve"> </w:t>
      </w:r>
      <w:proofErr w:type="spellStart"/>
      <w:r w:rsidRPr="007E26CF">
        <w:rPr>
          <w:i/>
          <w:iCs/>
          <w:lang w:val="fr-FR"/>
        </w:rPr>
        <w:t>naturales</w:t>
      </w:r>
      <w:proofErr w:type="spellEnd"/>
      <w:r w:rsidRPr="007E26CF">
        <w:rPr>
          <w:i/>
          <w:iCs/>
          <w:lang w:val="fr-FR"/>
        </w:rPr>
        <w:t xml:space="preserve">. </w:t>
      </w:r>
    </w:p>
    <w:p w:rsidR="007E26CF" w:rsidRPr="00D2411C" w:rsidRDefault="007E26CF" w:rsidP="007E26CF">
      <w:pPr>
        <w:spacing w:line="240" w:lineRule="auto"/>
        <w:jc w:val="both"/>
        <w:rPr>
          <w:sz w:val="24"/>
          <w:szCs w:val="24"/>
          <w:lang w:val="es-ES_tradnl"/>
        </w:rPr>
      </w:pPr>
    </w:p>
    <w:p w:rsidR="007E26CF" w:rsidRPr="00D2411C" w:rsidRDefault="007E26CF" w:rsidP="007E26CF">
      <w:pPr>
        <w:spacing w:line="240" w:lineRule="auto"/>
        <w:jc w:val="both"/>
        <w:rPr>
          <w:sz w:val="24"/>
          <w:szCs w:val="24"/>
          <w:lang w:val="es-ES_tradnl"/>
        </w:rPr>
      </w:pPr>
      <w:r w:rsidRPr="00D2411C">
        <w:rPr>
          <w:sz w:val="24"/>
          <w:szCs w:val="24"/>
          <w:lang w:val="es-ES_tradnl"/>
        </w:rPr>
        <w:t>A partir del video completa la tabla con los actores del conflicto y los argumentos de cada uno.</w:t>
      </w:r>
    </w:p>
    <w:p w:rsidR="007E26CF" w:rsidRPr="00D2411C" w:rsidRDefault="007E26CF" w:rsidP="007E26CF">
      <w:pPr>
        <w:spacing w:line="240" w:lineRule="auto"/>
        <w:jc w:val="both"/>
        <w:rPr>
          <w:sz w:val="24"/>
          <w:szCs w:val="24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0"/>
        <w:gridCol w:w="3979"/>
        <w:gridCol w:w="4451"/>
      </w:tblGrid>
      <w:tr w:rsidR="007E26CF" w:rsidRPr="00D2411C" w:rsidTr="007E26CF">
        <w:tc>
          <w:tcPr>
            <w:tcW w:w="1630" w:type="dxa"/>
          </w:tcPr>
          <w:p w:rsidR="007E26CF" w:rsidRPr="00D2411C" w:rsidRDefault="007E26CF" w:rsidP="0060301D">
            <w:pPr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979" w:type="dxa"/>
          </w:tcPr>
          <w:p w:rsidR="007E26CF" w:rsidRPr="00D2411C" w:rsidRDefault="007E26CF" w:rsidP="0060301D">
            <w:pPr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D2411C">
              <w:rPr>
                <w:b/>
                <w:sz w:val="24"/>
                <w:szCs w:val="24"/>
                <w:lang w:val="es-ES_tradnl"/>
              </w:rPr>
              <w:t>A favor</w:t>
            </w:r>
          </w:p>
        </w:tc>
        <w:tc>
          <w:tcPr>
            <w:tcW w:w="4451" w:type="dxa"/>
          </w:tcPr>
          <w:p w:rsidR="007E26CF" w:rsidRPr="00D2411C" w:rsidRDefault="007E26CF" w:rsidP="0060301D">
            <w:pPr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D2411C">
              <w:rPr>
                <w:b/>
                <w:sz w:val="24"/>
                <w:szCs w:val="24"/>
                <w:lang w:val="es-ES_tradnl"/>
              </w:rPr>
              <w:t>En contra</w:t>
            </w:r>
          </w:p>
        </w:tc>
      </w:tr>
      <w:tr w:rsidR="007E26CF" w:rsidRPr="00D2411C" w:rsidTr="007E26CF">
        <w:tc>
          <w:tcPr>
            <w:tcW w:w="1630" w:type="dxa"/>
          </w:tcPr>
          <w:p w:rsidR="007E26CF" w:rsidRPr="00D2411C" w:rsidRDefault="007E26CF" w:rsidP="0060301D">
            <w:pPr>
              <w:spacing w:line="240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 w:rsidRPr="00D2411C">
              <w:rPr>
                <w:b/>
                <w:sz w:val="24"/>
                <w:szCs w:val="24"/>
                <w:lang w:val="es-ES_tradnl"/>
              </w:rPr>
              <w:t>Actores</w:t>
            </w:r>
          </w:p>
        </w:tc>
        <w:tc>
          <w:tcPr>
            <w:tcW w:w="3979" w:type="dxa"/>
          </w:tcPr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vertAlign w:val="superscript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>Habitantes del Levante</w:t>
            </w:r>
            <w:r w:rsidRPr="00D2411C">
              <w:rPr>
                <w:sz w:val="24"/>
                <w:szCs w:val="24"/>
                <w:vertAlign w:val="superscript"/>
                <w:lang w:val="es-ES_tradnl"/>
              </w:rPr>
              <w:t>1</w:t>
            </w:r>
            <w:r w:rsidRPr="00D2411C">
              <w:rPr>
                <w:sz w:val="24"/>
                <w:szCs w:val="24"/>
                <w:lang w:val="es-ES_tradnl"/>
              </w:rPr>
              <w:t>:</w:t>
            </w:r>
            <w:r w:rsidRPr="00D2411C">
              <w:rPr>
                <w:sz w:val="24"/>
                <w:szCs w:val="24"/>
                <w:vertAlign w:val="superscript"/>
                <w:lang w:val="es-ES_tradnl"/>
              </w:rPr>
              <w:t xml:space="preserve"> </w:t>
            </w:r>
          </w:p>
          <w:p w:rsidR="007E26CF" w:rsidRPr="00D2411C" w:rsidRDefault="007E26CF" w:rsidP="007E26CF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lang w:val="es-ES_tradnl"/>
              </w:rPr>
            </w:pPr>
            <w:r w:rsidRPr="00D2411C">
              <w:rPr>
                <w:rFonts w:cs="Arial"/>
                <w:lang w:val="es-ES_tradnl"/>
              </w:rPr>
              <w:t>Agricultores</w:t>
            </w:r>
          </w:p>
          <w:p w:rsidR="007E26CF" w:rsidRPr="00D2411C" w:rsidRDefault="007E26CF" w:rsidP="007E26CF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lang w:val="es-ES_tradnl"/>
              </w:rPr>
            </w:pPr>
            <w:r w:rsidRPr="00D2411C">
              <w:rPr>
                <w:rFonts w:cs="Arial"/>
                <w:lang w:val="es-ES_tradnl"/>
              </w:rPr>
              <w:t>Políticos</w:t>
            </w:r>
          </w:p>
        </w:tc>
        <w:tc>
          <w:tcPr>
            <w:tcW w:w="4451" w:type="dxa"/>
          </w:tcPr>
          <w:p w:rsidR="007E26CF" w:rsidRPr="00D2411C" w:rsidRDefault="007E26CF" w:rsidP="0060301D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 xml:space="preserve">- El presidente de la comunidad de </w:t>
            </w:r>
            <w:r w:rsidRPr="00D2411C">
              <w:rPr>
                <w:rFonts w:eastAsia="Times New Roman"/>
                <w:bCs/>
                <w:sz w:val="24"/>
                <w:szCs w:val="24"/>
                <w:lang w:val="es-ES_tradnl"/>
              </w:rPr>
              <w:t>Castilla-La Mancha</w:t>
            </w: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>- El gobierno central</w:t>
            </w:r>
          </w:p>
        </w:tc>
      </w:tr>
      <w:tr w:rsidR="007E26CF" w:rsidRPr="00D2411C" w:rsidTr="007E26CF">
        <w:tc>
          <w:tcPr>
            <w:tcW w:w="1630" w:type="dxa"/>
          </w:tcPr>
          <w:p w:rsidR="007E26CF" w:rsidRPr="00D2411C" w:rsidRDefault="007E26CF" w:rsidP="0060301D">
            <w:pPr>
              <w:spacing w:line="240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 w:rsidRPr="00D2411C">
              <w:rPr>
                <w:b/>
                <w:sz w:val="24"/>
                <w:szCs w:val="24"/>
                <w:lang w:val="es-ES_tradnl"/>
              </w:rPr>
              <w:t>Argumentos</w:t>
            </w:r>
          </w:p>
        </w:tc>
        <w:tc>
          <w:tcPr>
            <w:tcW w:w="3979" w:type="dxa"/>
          </w:tcPr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>- actividad de la zona en peligro</w:t>
            </w: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>a causa de la reducción del agua que se va a trasvasar</w:t>
            </w: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>- es una ruina para el sector primario de la zona</w:t>
            </w: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>- los agricultores son ya muy endeudados</w:t>
            </w: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2411C">
              <w:rPr>
                <w:sz w:val="24"/>
                <w:szCs w:val="24"/>
                <w:lang w:val="es-ES_tradnl"/>
              </w:rPr>
              <w:t>- para los políticos es solamente una decisión política</w:t>
            </w: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451" w:type="dxa"/>
          </w:tcPr>
          <w:p w:rsidR="007E26CF" w:rsidRPr="00D2411C" w:rsidRDefault="007E26CF" w:rsidP="006030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ES_tradnl"/>
              </w:rPr>
            </w:pPr>
            <w:r w:rsidRPr="00D2411C">
              <w:rPr>
                <w:rFonts w:ascii="Arial" w:hAnsi="Arial" w:cs="Arial"/>
                <w:lang w:val="es-ES_tradnl"/>
              </w:rPr>
              <w:t>Se tiene que aplicar la ley y las directivas europeas</w:t>
            </w:r>
          </w:p>
          <w:p w:rsidR="007E26CF" w:rsidRPr="00D2411C" w:rsidRDefault="007E26CF" w:rsidP="006030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ES_tradnl"/>
              </w:rPr>
            </w:pPr>
          </w:p>
          <w:p w:rsidR="007E26CF" w:rsidRPr="00D2411C" w:rsidRDefault="007E26CF" w:rsidP="006030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ES_tradnl"/>
              </w:rPr>
            </w:pPr>
            <w:r w:rsidRPr="00D2411C">
              <w:rPr>
                <w:rFonts w:ascii="Arial" w:hAnsi="Arial" w:cs="Arial"/>
                <w:lang w:val="es-ES_tradnl"/>
              </w:rPr>
              <w:t>El gobierno central hace esfuerzos para proteger los intereses de la zona:</w:t>
            </w:r>
          </w:p>
          <w:p w:rsidR="007E26CF" w:rsidRPr="00D2411C" w:rsidRDefault="007E26CF" w:rsidP="006030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ES_tradnl"/>
              </w:rPr>
            </w:pPr>
            <w:r w:rsidRPr="00D2411C">
              <w:rPr>
                <w:rFonts w:ascii="Arial" w:hAnsi="Arial" w:cs="Arial"/>
                <w:lang w:val="es-ES_tradnl"/>
              </w:rPr>
              <w:t>- aplicación progresiva de este caudal</w:t>
            </w:r>
          </w:p>
          <w:p w:rsidR="007E26CF" w:rsidRPr="00D2411C" w:rsidRDefault="007E26CF" w:rsidP="006030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ES_tradnl"/>
              </w:rPr>
            </w:pPr>
            <w:r w:rsidRPr="00D2411C">
              <w:rPr>
                <w:rFonts w:ascii="Arial" w:hAnsi="Arial" w:cs="Arial"/>
                <w:lang w:val="es-ES_tradnl"/>
              </w:rPr>
              <w:t xml:space="preserve">- inversiones de 8 000 millones de euros en infraestructuras de producción y gestión de agua salada y de agua generada  </w:t>
            </w: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7E26CF" w:rsidRPr="00D2411C" w:rsidRDefault="007E26CF" w:rsidP="0060301D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7E26CF" w:rsidRPr="00D2411C" w:rsidRDefault="007E26CF" w:rsidP="007E26CF">
      <w:pPr>
        <w:spacing w:line="240" w:lineRule="auto"/>
        <w:jc w:val="both"/>
        <w:rPr>
          <w:b/>
          <w:sz w:val="24"/>
          <w:szCs w:val="24"/>
          <w:lang w:val="es-ES_tradnl"/>
        </w:rPr>
      </w:pPr>
    </w:p>
    <w:p w:rsidR="007E26CF" w:rsidRPr="00D2411C" w:rsidRDefault="007E26CF" w:rsidP="007E26CF">
      <w:pPr>
        <w:spacing w:line="240" w:lineRule="auto"/>
        <w:jc w:val="both"/>
        <w:rPr>
          <w:sz w:val="24"/>
          <w:szCs w:val="24"/>
          <w:lang w:val="es-ES_tradnl"/>
        </w:rPr>
      </w:pPr>
      <w:r w:rsidRPr="00D2411C">
        <w:rPr>
          <w:sz w:val="24"/>
          <w:szCs w:val="24"/>
          <w:vertAlign w:val="superscript"/>
          <w:lang w:val="es-ES_tradnl"/>
        </w:rPr>
        <w:t>1</w:t>
      </w:r>
      <w:r w:rsidRPr="00D2411C">
        <w:rPr>
          <w:sz w:val="24"/>
          <w:szCs w:val="24"/>
          <w:lang w:val="es-ES_tradnl"/>
        </w:rPr>
        <w:t xml:space="preserve">: habitantes del litoral sureste de España </w:t>
      </w:r>
    </w:p>
    <w:p w:rsidR="005A5E92" w:rsidRDefault="005A5E92"/>
    <w:sectPr w:rsidR="005A5E92" w:rsidSect="001F66A7">
      <w:headerReference w:type="default" r:id="rId8"/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144" w:rsidRDefault="00B00144" w:rsidP="005A5E92">
      <w:pPr>
        <w:spacing w:line="240" w:lineRule="auto"/>
      </w:pPr>
      <w:r>
        <w:separator/>
      </w:r>
    </w:p>
  </w:endnote>
  <w:endnote w:type="continuationSeparator" w:id="0">
    <w:p w:rsidR="00B00144" w:rsidRDefault="00B00144" w:rsidP="005A5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IN Pro Condensed Light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144" w:rsidRDefault="00B00144" w:rsidP="005A5E92">
      <w:pPr>
        <w:spacing w:line="240" w:lineRule="auto"/>
      </w:pPr>
      <w:r>
        <w:separator/>
      </w:r>
    </w:p>
  </w:footnote>
  <w:footnote w:type="continuationSeparator" w:id="0">
    <w:p w:rsidR="00B00144" w:rsidRDefault="00B00144" w:rsidP="005A5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E92" w:rsidRPr="005A5E92" w:rsidRDefault="005A5E92" w:rsidP="005A5E92">
    <w:pPr>
      <w:spacing w:line="240" w:lineRule="auto"/>
      <w:jc w:val="center"/>
      <w:rPr>
        <w:rFonts w:ascii="Marianne" w:hAnsi="Marianne"/>
        <w:b/>
        <w:sz w:val="24"/>
        <w:szCs w:val="24"/>
        <w:lang w:val="es-ES_tradnl"/>
      </w:rPr>
    </w:pPr>
    <w:r w:rsidRPr="005A5E92">
      <w:rPr>
        <w:rFonts w:ascii="Marianne" w:hAnsi="Marianne"/>
        <w:b/>
        <w:sz w:val="24"/>
        <w:szCs w:val="24"/>
        <w:lang w:val="es-ES_tradnl"/>
      </w:rPr>
      <w:t>LA GESTIÓN DEL AGUA EN ESPAÑA, UNA FUENTE DE CONFLICTOS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47A"/>
    <w:multiLevelType w:val="hybridMultilevel"/>
    <w:tmpl w:val="813405F6"/>
    <w:lvl w:ilvl="0" w:tplc="0AD4BE52">
      <w:start w:val="1"/>
      <w:numFmt w:val="decimal"/>
      <w:pStyle w:val="Normalquestion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B4A10"/>
    <w:multiLevelType w:val="hybridMultilevel"/>
    <w:tmpl w:val="75C0D940"/>
    <w:lvl w:ilvl="0" w:tplc="9E4425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34A"/>
    <w:multiLevelType w:val="hybridMultilevel"/>
    <w:tmpl w:val="23EEB7CA"/>
    <w:lvl w:ilvl="0" w:tplc="57DADF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1079">
    <w:abstractNumId w:val="0"/>
    <w:lvlOverride w:ilvl="0">
      <w:startOverride w:val="1"/>
    </w:lvlOverride>
  </w:num>
  <w:num w:numId="2" w16cid:durableId="732854357">
    <w:abstractNumId w:val="0"/>
    <w:lvlOverride w:ilvl="0">
      <w:startOverride w:val="1"/>
    </w:lvlOverride>
  </w:num>
  <w:num w:numId="3" w16cid:durableId="181550362">
    <w:abstractNumId w:val="0"/>
    <w:lvlOverride w:ilvl="0">
      <w:startOverride w:val="1"/>
    </w:lvlOverride>
  </w:num>
  <w:num w:numId="4" w16cid:durableId="236937717">
    <w:abstractNumId w:val="0"/>
    <w:lvlOverride w:ilvl="0">
      <w:startOverride w:val="1"/>
    </w:lvlOverride>
  </w:num>
  <w:num w:numId="5" w16cid:durableId="759332427">
    <w:abstractNumId w:val="1"/>
  </w:num>
  <w:num w:numId="6" w16cid:durableId="57482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92"/>
    <w:rsid w:val="0009319D"/>
    <w:rsid w:val="000F7413"/>
    <w:rsid w:val="001F66A7"/>
    <w:rsid w:val="00275440"/>
    <w:rsid w:val="002C21CC"/>
    <w:rsid w:val="00364845"/>
    <w:rsid w:val="00405E76"/>
    <w:rsid w:val="00502302"/>
    <w:rsid w:val="00512373"/>
    <w:rsid w:val="0059152E"/>
    <w:rsid w:val="005949E0"/>
    <w:rsid w:val="005A5E92"/>
    <w:rsid w:val="006B32AC"/>
    <w:rsid w:val="007C1138"/>
    <w:rsid w:val="007E26CF"/>
    <w:rsid w:val="007E5957"/>
    <w:rsid w:val="00807A88"/>
    <w:rsid w:val="00896A15"/>
    <w:rsid w:val="009B06AB"/>
    <w:rsid w:val="00A006F5"/>
    <w:rsid w:val="00A30F68"/>
    <w:rsid w:val="00A66BBD"/>
    <w:rsid w:val="00B00144"/>
    <w:rsid w:val="00B05EBC"/>
    <w:rsid w:val="00B40AFA"/>
    <w:rsid w:val="00C83426"/>
    <w:rsid w:val="00EA7737"/>
    <w:rsid w:val="00EE213D"/>
    <w:rsid w:val="00EE5E50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25B94"/>
  <w15:chartTrackingRefBased/>
  <w15:docId w15:val="{88498920-C102-424B-9687-D0760D7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92"/>
    <w:pPr>
      <w:spacing w:line="276" w:lineRule="auto"/>
    </w:pPr>
    <w:rPr>
      <w:rFonts w:ascii="Arial" w:eastAsia="Arial" w:hAnsi="Arial" w:cs="Arial"/>
      <w:kern w:val="0"/>
      <w:sz w:val="22"/>
      <w:szCs w:val="22"/>
      <w:lang w:val="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B06AB"/>
    <w:pPr>
      <w:keepNext/>
      <w:keepLines/>
      <w:outlineLvl w:val="0"/>
    </w:pPr>
    <w:rPr>
      <w:rFonts w:ascii="Fredericka the Great" w:hAnsi="Fredericka the Great"/>
      <w:color w:val="385623" w:themeColor="accent6" w:themeShade="80"/>
      <w:sz w:val="28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F68"/>
    <w:pPr>
      <w:keepNext/>
      <w:keepLines/>
      <w:spacing w:before="40"/>
      <w:outlineLvl w:val="1"/>
    </w:pPr>
    <w:rPr>
      <w:rFonts w:ascii="Marianne" w:eastAsiaTheme="majorEastAsia" w:hAnsi="Marianne" w:cstheme="majorBidi"/>
      <w:color w:val="538135" w:themeColor="accent6" w:themeShade="BF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pacing w:before="40"/>
      <w:outlineLvl w:val="2"/>
    </w:pPr>
    <w:rPr>
      <w:rFonts w:eastAsiaTheme="majorEastAsia" w:cstheme="majorBidi"/>
      <w:b/>
      <w:i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pacing w:before="40"/>
      <w:outlineLvl w:val="3"/>
    </w:pPr>
    <w:rPr>
      <w:rFonts w:eastAsiaTheme="majorEastAsia"/>
      <w:b/>
      <w:color w:val="000000" w:themeColor="text1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pacing w:before="40"/>
      <w:outlineLvl w:val="4"/>
    </w:pPr>
    <w:rPr>
      <w:rFonts w:eastAsiaTheme="majorEastAsia" w:cstheme="majorBidi"/>
      <w:color w:val="8EAADB" w:themeColor="accent1" w:themeTint="99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uiPriority w:val="22"/>
    <w:qFormat/>
    <w:rsid w:val="00EA7737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9B06AB"/>
    <w:rPr>
      <w:rFonts w:ascii="Fredericka the Great" w:eastAsia="Arial" w:hAnsi="Fredericka the Great" w:cs="Arial"/>
      <w:color w:val="385623" w:themeColor="accent6" w:themeShade="80"/>
      <w:kern w:val="0"/>
      <w:sz w:val="28"/>
      <w:szCs w:val="40"/>
      <w:u w:val="single"/>
      <w:lang w:val="es-ES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0F68"/>
    <w:rPr>
      <w:rFonts w:ascii="Marianne" w:eastAsiaTheme="majorEastAsia" w:hAnsi="Marianne" w:cstheme="majorBidi"/>
      <w:color w:val="538135" w:themeColor="accent6" w:themeShade="BF"/>
      <w:kern w:val="0"/>
      <w:sz w:val="22"/>
      <w:szCs w:val="26"/>
      <w:lang w:eastAsia="fr-FR"/>
      <w14:ligatures w14:val="none"/>
    </w:rPr>
  </w:style>
  <w:style w:type="paragraph" w:customStyle="1" w:styleId="COURS">
    <w:name w:val="COURS"/>
    <w:basedOn w:val="Normal"/>
    <w:qFormat/>
    <w:rsid w:val="00A30F68"/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contextualSpacing/>
    </w:pPr>
    <w:rPr>
      <w:rFonts w:eastAsiaTheme="majorEastAsia" w:cstheme="majorBidi"/>
      <w:b/>
      <w:i/>
      <w:color w:val="9CC2E5" w:themeColor="accent5" w:themeTint="99"/>
      <w:spacing w:val="-10"/>
      <w:kern w:val="24"/>
      <w:szCs w:val="56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pacing w:after="320"/>
    </w:pPr>
    <w:rPr>
      <w:rFonts w:ascii="Fredericka the Great" w:hAnsi="Fredericka the Great"/>
      <w:color w:val="FF0000"/>
      <w:szCs w:val="3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  <w:style w:type="paragraph" w:customStyle="1" w:styleId="Normaldocumentencadr">
    <w:name w:val="Normal document encadré"/>
    <w:basedOn w:val="Normal"/>
    <w:qFormat/>
    <w:rsid w:val="009B06AB"/>
    <w:pPr>
      <w:pBdr>
        <w:left w:val="single" w:sz="8" w:space="4" w:color="9CC2E5" w:themeColor="accent5" w:themeTint="99"/>
        <w:bottom w:val="single" w:sz="8" w:space="1" w:color="9CC2E5" w:themeColor="accent5" w:themeTint="99"/>
        <w:right w:val="single" w:sz="8" w:space="4" w:color="9CC2E5" w:themeColor="accent5" w:themeTint="99"/>
      </w:pBdr>
    </w:pPr>
    <w:rPr>
      <w:rFonts w:eastAsia="MS Mincho" w:cs="Gill Sans Light"/>
      <w:color w:val="000000" w:themeColor="text1"/>
      <w:szCs w:val="20"/>
      <w:lang w:eastAsia="en-US"/>
      <w14:ligatures w14:val="standardContextual"/>
    </w:rPr>
  </w:style>
  <w:style w:type="paragraph" w:customStyle="1" w:styleId="Normalquestions">
    <w:name w:val="Normal questions"/>
    <w:basedOn w:val="Paragraphedeliste"/>
    <w:autoRedefine/>
    <w:qFormat/>
    <w:rsid w:val="009B06AB"/>
    <w:pPr>
      <w:numPr>
        <w:numId w:val="4"/>
      </w:numPr>
      <w:shd w:val="clear" w:color="auto" w:fill="DEEAF6" w:themeFill="accent5" w:themeFillTint="33"/>
    </w:pPr>
    <w:rPr>
      <w:rFonts w:cs="DIN Pro Condensed Light"/>
      <w:color w:val="000000" w:themeColor="text1"/>
      <w:szCs w:val="20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EA7737"/>
    <w:pPr>
      <w:ind w:left="720"/>
      <w:contextualSpacing/>
    </w:pPr>
    <w:rPr>
      <w:rFonts w:cs="Mangal"/>
      <w:szCs w:val="21"/>
    </w:rPr>
  </w:style>
  <w:style w:type="paragraph" w:customStyle="1" w:styleId="Normaldocument">
    <w:name w:val="Normal document"/>
    <w:basedOn w:val="Paragraphedeliste"/>
    <w:qFormat/>
    <w:rsid w:val="00EA7737"/>
    <w:pPr>
      <w:shd w:val="clear" w:color="auto" w:fill="FFF2CC" w:themeFill="accent4" w:themeFillTint="33"/>
      <w:ind w:left="360" w:hanging="360"/>
    </w:pPr>
    <w:rPr>
      <w:rFonts w:cs="DIN Pro Condensed Light"/>
      <w:color w:val="000000" w:themeColor="text1"/>
      <w:szCs w:val="20"/>
      <w14:ligatures w14:val="standardContextual"/>
    </w:rPr>
  </w:style>
  <w:style w:type="paragraph" w:customStyle="1" w:styleId="Titredocuments">
    <w:name w:val="Titre documents"/>
    <w:basedOn w:val="Normal"/>
    <w:autoRedefine/>
    <w:qFormat/>
    <w:rsid w:val="00F04DCD"/>
    <w:pPr>
      <w:shd w:val="clear" w:color="auto" w:fill="E2EFD9" w:themeFill="accent6" w:themeFillTint="33"/>
    </w:pPr>
    <w:rPr>
      <w:b/>
    </w:rPr>
  </w:style>
  <w:style w:type="character" w:styleId="Lienhypertexte">
    <w:name w:val="Hyperlink"/>
    <w:basedOn w:val="Policepardfaut"/>
    <w:uiPriority w:val="99"/>
    <w:unhideWhenUsed/>
    <w:rsid w:val="005A5E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5E9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92"/>
    <w:rPr>
      <w:rFonts w:ascii="Arial" w:eastAsia="Arial" w:hAnsi="Arial" w:cs="Arial"/>
      <w:kern w:val="0"/>
      <w:sz w:val="22"/>
      <w:szCs w:val="22"/>
      <w:lang w:val="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A5E9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92"/>
    <w:rPr>
      <w:rFonts w:ascii="Arial" w:eastAsia="Arial" w:hAnsi="Arial" w:cs="Arial"/>
      <w:kern w:val="0"/>
      <w:sz w:val="22"/>
      <w:szCs w:val="22"/>
      <w:lang w:val="fr"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E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7E26CF"/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tve.es/play/videos/telediario/vuelve-guerra-agua-trasvase-tajo-segura/6774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3</cp:revision>
  <dcterms:created xsi:type="dcterms:W3CDTF">2024-06-26T17:18:00Z</dcterms:created>
  <dcterms:modified xsi:type="dcterms:W3CDTF">2024-06-26T17:22:00Z</dcterms:modified>
</cp:coreProperties>
</file>