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B6BD470" w:rsidR="00A43E59" w:rsidRPr="00F60EA5" w:rsidRDefault="00385D18" w:rsidP="00F60EA5">
      <w:pPr>
        <w:pStyle w:val="Titre1"/>
        <w:ind w:firstLine="720"/>
        <w:rPr>
          <w:rFonts w:asciiTheme="majorHAnsi" w:hAnsiTheme="majorHAnsi" w:cstheme="majorHAnsi"/>
          <w:b/>
          <w:bCs/>
          <w:sz w:val="24"/>
          <w:szCs w:val="24"/>
        </w:rPr>
      </w:pPr>
      <w:bookmarkStart w:id="0" w:name="_lxekjl2qvye4" w:colFirst="0" w:colLast="0"/>
      <w:bookmarkEnd w:id="0"/>
      <w:r w:rsidRPr="00F60EA5">
        <w:rPr>
          <w:rFonts w:asciiTheme="majorHAnsi" w:hAnsiTheme="majorHAnsi" w:cstheme="majorHAnsi"/>
          <w:b/>
          <w:bCs/>
          <w:sz w:val="24"/>
          <w:szCs w:val="24"/>
        </w:rPr>
        <w:t>Décrypter le tourisme à l’heure des réseaux sociaux : conscientiser les stratégies du marketing digital et leurs conséquences géographiques</w:t>
      </w:r>
    </w:p>
    <w:p w14:paraId="00000002" w14:textId="494783F6" w:rsidR="00A43E59" w:rsidRPr="00F60EA5" w:rsidRDefault="00385D18">
      <w:pPr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 xml:space="preserve">L’article “Le tourisme sous influence” publié par </w:t>
      </w:r>
      <w:r w:rsidRPr="00F60EA5">
        <w:rPr>
          <w:rFonts w:asciiTheme="majorHAnsi" w:hAnsiTheme="majorHAnsi" w:cstheme="majorHAnsi"/>
          <w:i/>
          <w:iCs/>
          <w:sz w:val="24"/>
          <w:szCs w:val="24"/>
        </w:rPr>
        <w:t>Le Monde</w:t>
      </w:r>
      <w:r w:rsidRPr="00F60EA5">
        <w:rPr>
          <w:rFonts w:asciiTheme="majorHAnsi" w:hAnsiTheme="majorHAnsi" w:cstheme="majorHAnsi"/>
          <w:sz w:val="24"/>
          <w:szCs w:val="24"/>
        </w:rPr>
        <w:t xml:space="preserve"> le 6 mai 2025 et écrit par Jessica Gourdon nous indique qu’en “ l’espace de quatre ans, les contenus liés au voyage ont explosé sur les [réseaux sociaux] : + 410 % depuis 2021 sur </w:t>
      </w:r>
      <w:proofErr w:type="spellStart"/>
      <w:r w:rsidRPr="00F60EA5">
        <w:rPr>
          <w:rFonts w:asciiTheme="majorHAnsi" w:hAnsiTheme="majorHAnsi" w:cstheme="majorHAnsi"/>
          <w:sz w:val="24"/>
          <w:szCs w:val="24"/>
        </w:rPr>
        <w:t>Tik</w:t>
      </w:r>
      <w:proofErr w:type="spellEnd"/>
      <w:r w:rsidRPr="00F60EA5">
        <w:rPr>
          <w:rFonts w:asciiTheme="majorHAnsi" w:hAnsiTheme="majorHAnsi" w:cstheme="majorHAnsi"/>
          <w:sz w:val="24"/>
          <w:szCs w:val="24"/>
        </w:rPr>
        <w:t xml:space="preserve">-Tok.” Or, ces plateformes font partie intégrante de la culture des élèves et de leurs habitudes. L’objectif de la séquence : utiliser les codes médiatiques issus des réseaux sociaux dont les élèves sont familiers pour en extraire des éléments d’analyse géographique et numérique. </w:t>
      </w:r>
      <w:r w:rsidRPr="00F60EA5">
        <w:rPr>
          <w:rFonts w:asciiTheme="majorHAnsi" w:hAnsiTheme="majorHAnsi" w:cstheme="majorHAnsi"/>
          <w:sz w:val="24"/>
          <w:szCs w:val="24"/>
        </w:rPr>
        <w:br/>
      </w:r>
      <w:r w:rsidRPr="00F60EA5">
        <w:rPr>
          <w:rFonts w:asciiTheme="majorHAnsi" w:hAnsiTheme="majorHAnsi" w:cstheme="majorHAnsi"/>
          <w:sz w:val="24"/>
          <w:szCs w:val="24"/>
        </w:rPr>
        <w:tab/>
        <w:t xml:space="preserve">L’objectif de cette séquence est d’étudier le “tourisme et ses espaces” grâce à une étude de cas sur Bali, une destination touristique particulièrement populaire sur les réseaux sociaux. </w:t>
      </w:r>
    </w:p>
    <w:p w14:paraId="00000003" w14:textId="77777777" w:rsidR="00A43E59" w:rsidRPr="00F60EA5" w:rsidRDefault="00A43E59">
      <w:pPr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00000005" w14:textId="32BB0245" w:rsidR="00A43E59" w:rsidRPr="00F60EA5" w:rsidRDefault="00385D18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F60EA5">
        <w:rPr>
          <w:rFonts w:asciiTheme="majorHAnsi" w:hAnsiTheme="majorHAnsi" w:cstheme="majorHAnsi"/>
          <w:b/>
          <w:bCs/>
          <w:sz w:val="24"/>
          <w:szCs w:val="24"/>
        </w:rPr>
        <w:t xml:space="preserve">Disciplines : </w:t>
      </w:r>
    </w:p>
    <w:p w14:paraId="0000000B" w14:textId="4BB2DBAA" w:rsidR="00A43E59" w:rsidRPr="00F60EA5" w:rsidRDefault="00385D18">
      <w:p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Géographie : 4</w:t>
      </w:r>
      <w:r w:rsidRPr="00F60EA5">
        <w:rPr>
          <w:rFonts w:asciiTheme="majorHAnsi" w:hAnsiTheme="majorHAnsi" w:cstheme="majorHAnsi"/>
          <w:sz w:val="24"/>
          <w:szCs w:val="24"/>
          <w:vertAlign w:val="superscript"/>
        </w:rPr>
        <w:t>ème</w:t>
      </w:r>
      <w:r w:rsidR="00F60EA5">
        <w:rPr>
          <w:rFonts w:asciiTheme="majorHAnsi" w:hAnsiTheme="majorHAnsi" w:cstheme="majorHAnsi"/>
          <w:sz w:val="24"/>
          <w:szCs w:val="24"/>
        </w:rPr>
        <w:t xml:space="preserve"> - </w:t>
      </w:r>
      <w:r w:rsidRPr="00F60EA5">
        <w:rPr>
          <w:rFonts w:asciiTheme="majorHAnsi" w:hAnsiTheme="majorHAnsi" w:cstheme="majorHAnsi"/>
          <w:sz w:val="24"/>
          <w:szCs w:val="24"/>
        </w:rPr>
        <w:t>Thème 2 : Les mobilités humaines transnationales</w:t>
      </w:r>
      <w:r w:rsidR="00F60EA5">
        <w:rPr>
          <w:rFonts w:asciiTheme="majorHAnsi" w:hAnsiTheme="majorHAnsi" w:cstheme="majorHAnsi"/>
          <w:sz w:val="24"/>
          <w:szCs w:val="24"/>
        </w:rPr>
        <w:t xml:space="preserve"> - </w:t>
      </w:r>
      <w:r w:rsidRPr="00F60EA5">
        <w:rPr>
          <w:rFonts w:asciiTheme="majorHAnsi" w:hAnsiTheme="majorHAnsi" w:cstheme="majorHAnsi"/>
          <w:sz w:val="24"/>
          <w:szCs w:val="24"/>
        </w:rPr>
        <w:t xml:space="preserve">Sous-thème 2 : le tourisme et ses espaces </w:t>
      </w:r>
    </w:p>
    <w:p w14:paraId="0000000C" w14:textId="77777777" w:rsidR="00A43E59" w:rsidRDefault="00385D18">
      <w:p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EMI : Questionner son expérience des médias et de l’information.</w:t>
      </w:r>
    </w:p>
    <w:p w14:paraId="242069E5" w14:textId="77777777" w:rsidR="00F60EA5" w:rsidRPr="00F60EA5" w:rsidRDefault="00F60EA5">
      <w:pPr>
        <w:rPr>
          <w:rFonts w:asciiTheme="majorHAnsi" w:hAnsiTheme="majorHAnsi" w:cstheme="majorHAnsi"/>
          <w:sz w:val="24"/>
          <w:szCs w:val="24"/>
        </w:rPr>
      </w:pPr>
    </w:p>
    <w:p w14:paraId="0000000D" w14:textId="77777777" w:rsidR="00A43E59" w:rsidRPr="00F60EA5" w:rsidRDefault="00385D18">
      <w:pPr>
        <w:spacing w:before="240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F60EA5">
        <w:rPr>
          <w:rFonts w:asciiTheme="majorHAnsi" w:hAnsiTheme="majorHAnsi" w:cstheme="majorHAnsi"/>
          <w:b/>
          <w:bCs/>
          <w:sz w:val="24"/>
          <w:szCs w:val="24"/>
        </w:rPr>
        <w:t xml:space="preserve">Notions abordées : </w:t>
      </w:r>
    </w:p>
    <w:p w14:paraId="0000000E" w14:textId="77777777" w:rsidR="00A43E59" w:rsidRPr="00F60EA5" w:rsidRDefault="00385D18">
      <w:pPr>
        <w:numPr>
          <w:ilvl w:val="0"/>
          <w:numId w:val="10"/>
        </w:numPr>
        <w:spacing w:before="240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Le tourisme de masse et ses conséquences : pollution, conflit d’usage, économie locale, infrastructures</w:t>
      </w:r>
    </w:p>
    <w:p w14:paraId="0000000F" w14:textId="77777777" w:rsidR="00A43E59" w:rsidRPr="00F60EA5" w:rsidRDefault="00385D18">
      <w:pPr>
        <w:numPr>
          <w:ilvl w:val="0"/>
          <w:numId w:val="10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 xml:space="preserve">Le tourisme alternatif : écotourisme, tourisme durable, tourisme solidaire. </w:t>
      </w:r>
    </w:p>
    <w:p w14:paraId="00000010" w14:textId="77777777" w:rsidR="00A43E59" w:rsidRDefault="00385D18">
      <w:pPr>
        <w:numPr>
          <w:ilvl w:val="0"/>
          <w:numId w:val="10"/>
        </w:numPr>
        <w:spacing w:after="240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Le marketing territorial sur les réseaux sociaux et ses conséquences : algorithme, logique de viralité, tendances et influence</w:t>
      </w:r>
    </w:p>
    <w:p w14:paraId="7E75BBB4" w14:textId="77777777" w:rsidR="00F60EA5" w:rsidRPr="00F60EA5" w:rsidRDefault="00F60EA5" w:rsidP="00F60EA5">
      <w:pPr>
        <w:spacing w:after="240"/>
        <w:ind w:left="720"/>
        <w:rPr>
          <w:rFonts w:asciiTheme="majorHAnsi" w:hAnsiTheme="majorHAnsi" w:cstheme="majorHAnsi"/>
          <w:sz w:val="24"/>
          <w:szCs w:val="24"/>
        </w:rPr>
      </w:pPr>
    </w:p>
    <w:p w14:paraId="00000011" w14:textId="71E00EEF" w:rsidR="00A43E59" w:rsidRPr="00F60EA5" w:rsidRDefault="00385D18">
      <w:pPr>
        <w:spacing w:before="240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F60EA5">
        <w:rPr>
          <w:rFonts w:asciiTheme="majorHAnsi" w:hAnsiTheme="majorHAnsi" w:cstheme="majorHAnsi"/>
          <w:b/>
          <w:bCs/>
          <w:sz w:val="24"/>
          <w:szCs w:val="24"/>
        </w:rPr>
        <w:t>Compétences numériques</w:t>
      </w:r>
      <w:r w:rsidR="00F60EA5" w:rsidRPr="00F60EA5">
        <w:rPr>
          <w:rFonts w:asciiTheme="majorHAnsi" w:hAnsiTheme="majorHAnsi" w:cstheme="majorHAnsi"/>
          <w:b/>
          <w:bCs/>
          <w:sz w:val="24"/>
          <w:szCs w:val="24"/>
        </w:rPr>
        <w:t> :</w:t>
      </w:r>
    </w:p>
    <w:p w14:paraId="00000012" w14:textId="77777777" w:rsidR="00A43E59" w:rsidRPr="00F60EA5" w:rsidRDefault="00385D18">
      <w:pPr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Apprendre à distinguer subjectivité et objectivité dans l’étude d’un objet médiatique.</w:t>
      </w:r>
    </w:p>
    <w:p w14:paraId="00000013" w14:textId="77777777" w:rsidR="00A43E59" w:rsidRPr="00F60EA5" w:rsidRDefault="00385D18">
      <w:pPr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Découvrir des représentations du monde véhiculées par les médias.</w:t>
      </w:r>
    </w:p>
    <w:p w14:paraId="00000014" w14:textId="77777777" w:rsidR="00A43E59" w:rsidRDefault="00385D18">
      <w:pPr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S’interroger sur l’influence des médias sur la consommation et la vie démocratique.</w:t>
      </w:r>
    </w:p>
    <w:p w14:paraId="187F6EA6" w14:textId="77777777" w:rsidR="00F60EA5" w:rsidRPr="00F60EA5" w:rsidRDefault="00F60EA5" w:rsidP="00F60EA5">
      <w:pPr>
        <w:ind w:left="720"/>
        <w:rPr>
          <w:rFonts w:asciiTheme="majorHAnsi" w:hAnsiTheme="majorHAnsi" w:cstheme="majorHAnsi"/>
          <w:sz w:val="24"/>
          <w:szCs w:val="24"/>
        </w:rPr>
      </w:pPr>
    </w:p>
    <w:p w14:paraId="00000015" w14:textId="77777777" w:rsidR="00A43E59" w:rsidRPr="00F60EA5" w:rsidRDefault="00385D18">
      <w:pPr>
        <w:spacing w:before="240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F60EA5">
        <w:rPr>
          <w:rFonts w:asciiTheme="majorHAnsi" w:hAnsiTheme="majorHAnsi" w:cstheme="majorHAnsi"/>
          <w:b/>
          <w:bCs/>
          <w:sz w:val="24"/>
          <w:szCs w:val="24"/>
        </w:rPr>
        <w:t xml:space="preserve">Capacités travaillées : </w:t>
      </w:r>
    </w:p>
    <w:p w14:paraId="00000016" w14:textId="77777777" w:rsidR="00A43E59" w:rsidRPr="00F60EA5" w:rsidRDefault="00385D18">
      <w:pPr>
        <w:numPr>
          <w:ilvl w:val="0"/>
          <w:numId w:val="6"/>
        </w:numPr>
        <w:spacing w:before="240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Analyser et comprendre un document : identifier le document et son point de vue particulier</w:t>
      </w:r>
    </w:p>
    <w:p w14:paraId="00000017" w14:textId="77777777" w:rsidR="00A43E59" w:rsidRPr="00F60EA5" w:rsidRDefault="00385D18">
      <w:pPr>
        <w:numPr>
          <w:ilvl w:val="0"/>
          <w:numId w:val="6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 xml:space="preserve">Pratiquer différents langages : écrire pour construire sa pensée et son savoir, argumenter et écrire pour communiquer et échanger. </w:t>
      </w:r>
    </w:p>
    <w:p w14:paraId="00000018" w14:textId="77777777" w:rsidR="00A43E59" w:rsidRPr="00F60EA5" w:rsidRDefault="00385D18">
      <w:pPr>
        <w:numPr>
          <w:ilvl w:val="0"/>
          <w:numId w:val="6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Raisonner, justifier une démarche : construire des hypothèses d’interprétation de phénomènes historiques ou géographiques.</w:t>
      </w:r>
    </w:p>
    <w:p w14:paraId="00000019" w14:textId="77777777" w:rsidR="00A43E59" w:rsidRPr="00F60EA5" w:rsidRDefault="00385D18">
      <w:pPr>
        <w:numPr>
          <w:ilvl w:val="0"/>
          <w:numId w:val="6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 xml:space="preserve">Développer un jugement critique à l'égard des flux d'informations et des stratégies d'influence sur les réseaux sociaux. </w:t>
      </w:r>
    </w:p>
    <w:p w14:paraId="0000001A" w14:textId="77777777" w:rsidR="00A43E59" w:rsidRPr="00F60EA5" w:rsidRDefault="00385D18">
      <w:pPr>
        <w:numPr>
          <w:ilvl w:val="0"/>
          <w:numId w:val="6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 xml:space="preserve">Comprendre comment les sociétés transforment leurs territoires (tourisme) et comment les médias façonnent notre vision de l'espace mondial. </w:t>
      </w:r>
    </w:p>
    <w:p w14:paraId="0000001B" w14:textId="77777777" w:rsidR="00A43E59" w:rsidRPr="00F60EA5" w:rsidRDefault="00385D18">
      <w:pPr>
        <w:numPr>
          <w:ilvl w:val="0"/>
          <w:numId w:val="6"/>
        </w:numPr>
        <w:spacing w:after="240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Comprendre les mécanismes de communication des réseaux sociaux : analyser des formats médiatiques spécifiques aux plateformes numériques, identifier les codes visuels et narratifs propres aux réseaux sociaux</w:t>
      </w:r>
    </w:p>
    <w:p w14:paraId="0000001C" w14:textId="77777777" w:rsidR="00A43E59" w:rsidRPr="00F60EA5" w:rsidRDefault="00385D18">
      <w:pPr>
        <w:spacing w:before="240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F60EA5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Documents / outils mobilisés : </w:t>
      </w:r>
    </w:p>
    <w:p w14:paraId="0000001D" w14:textId="77777777" w:rsidR="00A43E59" w:rsidRPr="00F60EA5" w:rsidRDefault="00385D18">
      <w:pPr>
        <w:numPr>
          <w:ilvl w:val="0"/>
          <w:numId w:val="3"/>
        </w:numPr>
        <w:spacing w:before="240"/>
        <w:rPr>
          <w:rFonts w:asciiTheme="majorHAnsi" w:hAnsiTheme="majorHAnsi" w:cstheme="majorHAnsi"/>
          <w:sz w:val="24"/>
          <w:szCs w:val="24"/>
        </w:rPr>
      </w:pPr>
      <w:hyperlink r:id="rId5">
        <w:r w:rsidRPr="00F60EA5">
          <w:rPr>
            <w:rFonts w:asciiTheme="majorHAnsi" w:hAnsiTheme="majorHAnsi" w:cstheme="majorHAnsi"/>
            <w:color w:val="1155CC"/>
            <w:sz w:val="24"/>
            <w:szCs w:val="24"/>
            <w:u w:val="single"/>
          </w:rPr>
          <w:t>Logiciel de conception en ligne pour le diaporama</w:t>
        </w:r>
      </w:hyperlink>
    </w:p>
    <w:p w14:paraId="0000001E" w14:textId="3758F258" w:rsidR="00A43E59" w:rsidRDefault="00385D18" w:rsidP="000425EB">
      <w:pPr>
        <w:numPr>
          <w:ilvl w:val="0"/>
          <w:numId w:val="3"/>
        </w:numPr>
        <w:spacing w:line="240" w:lineRule="auto"/>
        <w:ind w:hanging="357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Trois vidéos</w:t>
      </w:r>
      <w:r w:rsidRPr="00F60EA5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proofErr w:type="spellStart"/>
      <w:r w:rsidRPr="00F60EA5">
        <w:rPr>
          <w:rFonts w:asciiTheme="majorHAnsi" w:hAnsiTheme="majorHAnsi" w:cstheme="majorHAnsi"/>
          <w:i/>
          <w:iCs/>
          <w:sz w:val="24"/>
          <w:szCs w:val="24"/>
        </w:rPr>
        <w:t>Tiktok</w:t>
      </w:r>
      <w:proofErr w:type="spellEnd"/>
      <w:r w:rsidRPr="00F60EA5">
        <w:rPr>
          <w:rFonts w:asciiTheme="majorHAnsi" w:hAnsiTheme="majorHAnsi" w:cstheme="majorHAnsi"/>
          <w:sz w:val="24"/>
          <w:szCs w:val="24"/>
        </w:rPr>
        <w:t xml:space="preserve"> téléchargées sur le thème du tourisme à Bali</w:t>
      </w:r>
      <w:r w:rsidR="000425EB">
        <w:rPr>
          <w:rFonts w:asciiTheme="majorHAnsi" w:hAnsiTheme="majorHAnsi" w:cstheme="majorHAnsi"/>
          <w:sz w:val="24"/>
          <w:szCs w:val="24"/>
        </w:rPr>
        <w:t> :</w:t>
      </w:r>
    </w:p>
    <w:p w14:paraId="7BF8FA94" w14:textId="462218B6" w:rsidR="000425EB" w:rsidRDefault="000425EB" w:rsidP="000425EB">
      <w:pPr>
        <w:pStyle w:val="Paragraphedeliste"/>
        <w:numPr>
          <w:ilvl w:val="1"/>
          <w:numId w:val="3"/>
        </w:numPr>
        <w:spacing w:line="240" w:lineRule="auto"/>
        <w:ind w:hanging="357"/>
        <w:rPr>
          <w:rFonts w:asciiTheme="majorHAnsi" w:hAnsiTheme="majorHAnsi" w:cstheme="majorHAnsi"/>
          <w:sz w:val="24"/>
          <w:szCs w:val="24"/>
        </w:rPr>
      </w:pPr>
      <w:hyperlink r:id="rId6" w:history="1">
        <w:r w:rsidRPr="000425EB">
          <w:rPr>
            <w:rStyle w:val="Lienhypertexte"/>
            <w:rFonts w:asciiTheme="majorHAnsi" w:hAnsiTheme="majorHAnsi" w:cstheme="majorHAnsi"/>
            <w:sz w:val="24"/>
            <w:szCs w:val="24"/>
          </w:rPr>
          <w:t>Bali 1</w:t>
        </w:r>
      </w:hyperlink>
    </w:p>
    <w:p w14:paraId="11DBA3AE" w14:textId="005DF6F3" w:rsidR="000425EB" w:rsidRDefault="000425EB" w:rsidP="000425EB">
      <w:pPr>
        <w:pStyle w:val="Paragraphedeliste"/>
        <w:numPr>
          <w:ilvl w:val="1"/>
          <w:numId w:val="3"/>
        </w:numPr>
        <w:spacing w:after="240"/>
        <w:rPr>
          <w:rFonts w:asciiTheme="majorHAnsi" w:hAnsiTheme="majorHAnsi" w:cstheme="majorHAnsi"/>
          <w:sz w:val="24"/>
          <w:szCs w:val="24"/>
        </w:rPr>
      </w:pPr>
      <w:hyperlink r:id="rId7" w:history="1">
        <w:r w:rsidRPr="000425EB">
          <w:rPr>
            <w:rStyle w:val="Lienhypertexte"/>
            <w:rFonts w:asciiTheme="majorHAnsi" w:hAnsiTheme="majorHAnsi" w:cstheme="majorHAnsi"/>
            <w:sz w:val="24"/>
            <w:szCs w:val="24"/>
          </w:rPr>
          <w:t>Bali 2</w:t>
        </w:r>
      </w:hyperlink>
    </w:p>
    <w:p w14:paraId="29532D61" w14:textId="79608E72" w:rsidR="000425EB" w:rsidRPr="000425EB" w:rsidRDefault="000425EB" w:rsidP="000425EB">
      <w:pPr>
        <w:pStyle w:val="Paragraphedeliste"/>
        <w:numPr>
          <w:ilvl w:val="1"/>
          <w:numId w:val="3"/>
        </w:numPr>
        <w:spacing w:after="240"/>
        <w:rPr>
          <w:rFonts w:asciiTheme="majorHAnsi" w:hAnsiTheme="majorHAnsi" w:cstheme="majorHAnsi"/>
          <w:sz w:val="24"/>
          <w:szCs w:val="24"/>
        </w:rPr>
      </w:pPr>
      <w:hyperlink r:id="rId8" w:history="1">
        <w:r w:rsidRPr="000425EB">
          <w:rPr>
            <w:rStyle w:val="Lienhypertexte"/>
            <w:rFonts w:asciiTheme="majorHAnsi" w:hAnsiTheme="majorHAnsi" w:cstheme="majorHAnsi"/>
            <w:sz w:val="24"/>
            <w:szCs w:val="24"/>
          </w:rPr>
          <w:t>Bali 3</w:t>
        </w:r>
      </w:hyperlink>
    </w:p>
    <w:p w14:paraId="6F2B60B6" w14:textId="77777777" w:rsidR="00F60EA5" w:rsidRPr="00F60EA5" w:rsidRDefault="00F60EA5" w:rsidP="00F60EA5">
      <w:pPr>
        <w:spacing w:after="240"/>
        <w:ind w:left="720"/>
        <w:rPr>
          <w:rFonts w:asciiTheme="majorHAnsi" w:hAnsiTheme="majorHAnsi" w:cstheme="majorHAnsi"/>
          <w:sz w:val="24"/>
          <w:szCs w:val="24"/>
        </w:rPr>
      </w:pPr>
    </w:p>
    <w:p w14:paraId="0000001F" w14:textId="6ECFC545" w:rsidR="00A43E59" w:rsidRPr="00F60EA5" w:rsidRDefault="00F60EA5">
      <w:pPr>
        <w:spacing w:before="240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F60EA5">
        <w:rPr>
          <w:rFonts w:asciiTheme="majorHAnsi" w:hAnsiTheme="majorHAnsi" w:cstheme="majorHAnsi"/>
          <w:b/>
          <w:bCs/>
          <w:sz w:val="24"/>
          <w:szCs w:val="24"/>
        </w:rPr>
        <w:t>Activités des élèves </w:t>
      </w:r>
      <w:r w:rsidR="00385D18" w:rsidRPr="00F60EA5">
        <w:rPr>
          <w:rFonts w:asciiTheme="majorHAnsi" w:hAnsiTheme="majorHAnsi" w:cstheme="majorHAnsi"/>
          <w:b/>
          <w:bCs/>
          <w:sz w:val="24"/>
          <w:szCs w:val="24"/>
        </w:rPr>
        <w:t>(5 heures)</w:t>
      </w:r>
      <w:r>
        <w:rPr>
          <w:rFonts w:asciiTheme="majorHAnsi" w:hAnsiTheme="majorHAnsi" w:cstheme="majorHAnsi"/>
          <w:b/>
          <w:bCs/>
          <w:sz w:val="24"/>
          <w:szCs w:val="24"/>
        </w:rPr>
        <w:t> :</w:t>
      </w:r>
    </w:p>
    <w:p w14:paraId="00000020" w14:textId="77777777" w:rsidR="00A43E59" w:rsidRPr="00F60EA5" w:rsidRDefault="00385D18" w:rsidP="00F60EA5">
      <w:pPr>
        <w:pStyle w:val="Paragraphedeliste"/>
        <w:numPr>
          <w:ilvl w:val="0"/>
          <w:numId w:val="11"/>
        </w:numPr>
        <w:spacing w:before="240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F60EA5">
        <w:rPr>
          <w:rFonts w:asciiTheme="majorHAnsi" w:hAnsiTheme="majorHAnsi" w:cstheme="majorHAnsi"/>
          <w:b/>
          <w:bCs/>
          <w:sz w:val="24"/>
          <w:szCs w:val="24"/>
        </w:rPr>
        <w:t>Séance 1 (2h) : Introduction et étape 1 de l’étude de cas</w:t>
      </w:r>
    </w:p>
    <w:p w14:paraId="00000021" w14:textId="77777777" w:rsidR="00A43E59" w:rsidRPr="00F60EA5" w:rsidRDefault="00385D18">
      <w:pPr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 xml:space="preserve">Cours dialogué : </w:t>
      </w:r>
    </w:p>
    <w:p w14:paraId="00000022" w14:textId="4B44FE8C" w:rsidR="00A43E59" w:rsidRPr="00F60EA5" w:rsidRDefault="00385D18" w:rsidP="00F60EA5">
      <w:pPr>
        <w:pStyle w:val="Paragraphedeliste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 xml:space="preserve">Rappels des notions et du vocabulaire vus précédemment (mobilité, migration, mondialisation…). </w:t>
      </w:r>
    </w:p>
    <w:p w14:paraId="00000023" w14:textId="3B121178" w:rsidR="00A43E59" w:rsidRPr="00F60EA5" w:rsidRDefault="00385D18" w:rsidP="00F60EA5">
      <w:pPr>
        <w:pStyle w:val="Paragraphedeliste"/>
        <w:numPr>
          <w:ilvl w:val="0"/>
          <w:numId w:val="5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 xml:space="preserve">Rapide introduction sur l’importance des mobilités touristiques dans le monde </w:t>
      </w:r>
    </w:p>
    <w:p w14:paraId="00000025" w14:textId="70352E55" w:rsidR="00A43E59" w:rsidRPr="00F60EA5" w:rsidRDefault="00385D18">
      <w:pPr>
        <w:rPr>
          <w:rFonts w:asciiTheme="majorHAnsi" w:hAnsiTheme="majorHAnsi" w:cstheme="majorHAnsi"/>
          <w:sz w:val="24"/>
          <w:szCs w:val="24"/>
        </w:rPr>
      </w:pPr>
      <w:proofErr w:type="spellStart"/>
      <w:proofErr w:type="gramStart"/>
      <w:r w:rsidRPr="00F60EA5">
        <w:rPr>
          <w:rFonts w:asciiTheme="majorHAnsi" w:hAnsiTheme="majorHAnsi" w:cstheme="majorHAnsi"/>
          <w:sz w:val="24"/>
          <w:szCs w:val="24"/>
        </w:rPr>
        <w:t>cf</w:t>
      </w:r>
      <w:proofErr w:type="spellEnd"/>
      <w:proofErr w:type="gramEnd"/>
      <w:r w:rsidRPr="00F60EA5">
        <w:rPr>
          <w:rFonts w:asciiTheme="majorHAnsi" w:hAnsiTheme="majorHAnsi" w:cstheme="majorHAnsi"/>
          <w:sz w:val="24"/>
          <w:szCs w:val="24"/>
        </w:rPr>
        <w:t xml:space="preserve"> trace écrite sur le diaporama</w:t>
      </w:r>
    </w:p>
    <w:p w14:paraId="00000026" w14:textId="77777777" w:rsidR="00A43E59" w:rsidRPr="00F60EA5" w:rsidRDefault="00385D18">
      <w:pPr>
        <w:numPr>
          <w:ilvl w:val="0"/>
          <w:numId w:val="9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 xml:space="preserve">Distribution de la fiche vocabulaire et de la fiche activité (facultative) </w:t>
      </w:r>
    </w:p>
    <w:p w14:paraId="00000027" w14:textId="77777777" w:rsidR="00A43E59" w:rsidRPr="00F60EA5" w:rsidRDefault="00385D18">
      <w:pPr>
        <w:numPr>
          <w:ilvl w:val="0"/>
          <w:numId w:val="8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Etude de cas : les conséquences du marketing territorial viral sur Bali</w:t>
      </w:r>
    </w:p>
    <w:p w14:paraId="00000028" w14:textId="77777777" w:rsidR="00A43E59" w:rsidRPr="00F60EA5" w:rsidRDefault="00385D18">
      <w:p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 xml:space="preserve">Etape 1 de l’étude de cas : comprendre le rôle des réseaux sociaux dans le </w:t>
      </w:r>
      <w:proofErr w:type="spellStart"/>
      <w:r w:rsidRPr="00F60EA5">
        <w:rPr>
          <w:rFonts w:asciiTheme="majorHAnsi" w:hAnsiTheme="majorHAnsi" w:cstheme="majorHAnsi"/>
          <w:sz w:val="24"/>
          <w:szCs w:val="24"/>
        </w:rPr>
        <w:t>sur-tourisme</w:t>
      </w:r>
      <w:proofErr w:type="spellEnd"/>
      <w:r w:rsidRPr="00F60EA5">
        <w:rPr>
          <w:rFonts w:asciiTheme="majorHAnsi" w:hAnsiTheme="majorHAnsi" w:cstheme="majorHAnsi"/>
          <w:sz w:val="24"/>
          <w:szCs w:val="24"/>
        </w:rPr>
        <w:t xml:space="preserve"> à Bali et ses conséquences sur le territoire local </w:t>
      </w:r>
    </w:p>
    <w:p w14:paraId="00000029" w14:textId="77777777" w:rsidR="00A43E59" w:rsidRPr="00F60EA5" w:rsidRDefault="00385D18">
      <w:pPr>
        <w:spacing w:before="240" w:line="240" w:lineRule="auto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eastAsia="Arial Unicode MS" w:hAnsiTheme="majorHAnsi" w:cstheme="majorHAnsi"/>
          <w:sz w:val="24"/>
          <w:szCs w:val="24"/>
        </w:rPr>
        <w:t>→ Visionnage des vidéos (</w:t>
      </w:r>
      <w:proofErr w:type="spellStart"/>
      <w:r w:rsidRPr="00F60EA5">
        <w:rPr>
          <w:rFonts w:asciiTheme="majorHAnsi" w:eastAsia="Arial Unicode MS" w:hAnsiTheme="majorHAnsi" w:cstheme="majorHAnsi"/>
          <w:sz w:val="24"/>
          <w:szCs w:val="24"/>
        </w:rPr>
        <w:t>cf</w:t>
      </w:r>
      <w:proofErr w:type="spellEnd"/>
      <w:r w:rsidRPr="00F60EA5">
        <w:rPr>
          <w:rFonts w:asciiTheme="majorHAnsi" w:eastAsia="Arial Unicode MS" w:hAnsiTheme="majorHAnsi" w:cstheme="majorHAnsi"/>
          <w:sz w:val="24"/>
          <w:szCs w:val="24"/>
        </w:rPr>
        <w:t xml:space="preserve"> p 6 et 8 du </w:t>
      </w:r>
      <w:proofErr w:type="gramStart"/>
      <w:r w:rsidRPr="00F60EA5">
        <w:rPr>
          <w:rFonts w:asciiTheme="majorHAnsi" w:eastAsia="Arial Unicode MS" w:hAnsiTheme="majorHAnsi" w:cstheme="majorHAnsi"/>
          <w:sz w:val="24"/>
          <w:szCs w:val="24"/>
        </w:rPr>
        <w:t>diaporama)  au</w:t>
      </w:r>
      <w:proofErr w:type="gramEnd"/>
      <w:r w:rsidRPr="00F60EA5">
        <w:rPr>
          <w:rFonts w:asciiTheme="majorHAnsi" w:eastAsia="Arial Unicode MS" w:hAnsiTheme="majorHAnsi" w:cstheme="majorHAnsi"/>
          <w:sz w:val="24"/>
          <w:szCs w:val="24"/>
        </w:rPr>
        <w:t xml:space="preserve"> fur et à mesure des questions</w:t>
      </w:r>
    </w:p>
    <w:p w14:paraId="0000002A" w14:textId="77777777" w:rsidR="00A43E59" w:rsidRPr="00F60EA5" w:rsidRDefault="00385D18">
      <w:pPr>
        <w:spacing w:before="240" w:line="240" w:lineRule="auto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eastAsia="Arial Unicode MS" w:hAnsiTheme="majorHAnsi" w:cstheme="majorHAnsi"/>
          <w:sz w:val="24"/>
          <w:szCs w:val="24"/>
        </w:rPr>
        <w:t>→ Réponse aux questions en commun à l’oral. Prise en notes projetée des réponses des élèves par la professeure en direct.</w:t>
      </w:r>
    </w:p>
    <w:p w14:paraId="0000002B" w14:textId="77777777" w:rsidR="00A43E59" w:rsidRDefault="00385D18">
      <w:pPr>
        <w:spacing w:before="240" w:line="240" w:lineRule="auto"/>
        <w:rPr>
          <w:rFonts w:asciiTheme="majorHAnsi" w:eastAsia="Arial Unicode MS" w:hAnsiTheme="majorHAnsi" w:cstheme="majorHAnsi"/>
          <w:sz w:val="24"/>
          <w:szCs w:val="24"/>
        </w:rPr>
      </w:pPr>
      <w:r w:rsidRPr="00F60EA5">
        <w:rPr>
          <w:rFonts w:asciiTheme="majorHAnsi" w:eastAsia="Arial Unicode MS" w:hAnsiTheme="majorHAnsi" w:cstheme="majorHAnsi"/>
          <w:sz w:val="24"/>
          <w:szCs w:val="24"/>
        </w:rPr>
        <w:t>→ Croquis de synthèse à compléter au fur et à mesure des questions (correction p12-13 du diaporama)</w:t>
      </w:r>
    </w:p>
    <w:p w14:paraId="2DBABEC4" w14:textId="77777777" w:rsidR="00F60EA5" w:rsidRPr="00F60EA5" w:rsidRDefault="00F60EA5">
      <w:pPr>
        <w:spacing w:before="240" w:line="240" w:lineRule="auto"/>
        <w:rPr>
          <w:rFonts w:asciiTheme="majorHAnsi" w:hAnsiTheme="majorHAnsi" w:cstheme="majorHAnsi"/>
          <w:sz w:val="24"/>
          <w:szCs w:val="24"/>
        </w:rPr>
      </w:pPr>
    </w:p>
    <w:p w14:paraId="0000002C" w14:textId="14BA0972" w:rsidR="00A43E59" w:rsidRPr="00F60EA5" w:rsidRDefault="00F60EA5" w:rsidP="00F60EA5">
      <w:pPr>
        <w:pStyle w:val="Paragraphedeliste"/>
        <w:numPr>
          <w:ilvl w:val="2"/>
          <w:numId w:val="13"/>
        </w:numPr>
        <w:spacing w:before="24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S</w:t>
      </w:r>
      <w:r w:rsidR="00385D18" w:rsidRPr="00F60EA5">
        <w:rPr>
          <w:rFonts w:asciiTheme="majorHAnsi" w:hAnsiTheme="majorHAnsi" w:cstheme="majorHAnsi"/>
          <w:b/>
          <w:bCs/>
          <w:sz w:val="24"/>
          <w:szCs w:val="24"/>
        </w:rPr>
        <w:t>éance 2 (1h)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385D18" w:rsidRPr="00F60EA5">
        <w:rPr>
          <w:rFonts w:asciiTheme="majorHAnsi" w:hAnsiTheme="majorHAnsi" w:cstheme="majorHAnsi"/>
          <w:b/>
          <w:bCs/>
          <w:sz w:val="24"/>
          <w:szCs w:val="24"/>
        </w:rPr>
        <w:t>: étape 2 de l’étude de cas</w:t>
      </w:r>
    </w:p>
    <w:p w14:paraId="0000002D" w14:textId="77777777" w:rsidR="00A43E59" w:rsidRPr="00F60EA5" w:rsidRDefault="00385D18">
      <w:pPr>
        <w:numPr>
          <w:ilvl w:val="0"/>
          <w:numId w:val="4"/>
        </w:numPr>
        <w:spacing w:before="240" w:line="240" w:lineRule="auto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Distribution des réponses mises au propre par la professeure</w:t>
      </w:r>
    </w:p>
    <w:p w14:paraId="0000002E" w14:textId="77777777" w:rsidR="00A43E59" w:rsidRPr="00F60EA5" w:rsidRDefault="00385D18">
      <w:pPr>
        <w:numPr>
          <w:ilvl w:val="0"/>
          <w:numId w:val="4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Lecture en commun des réponses avec surlignage des éléments important</w:t>
      </w:r>
    </w:p>
    <w:p w14:paraId="0000002F" w14:textId="77777777" w:rsidR="00A43E59" w:rsidRPr="00F60EA5" w:rsidRDefault="00385D18">
      <w:pPr>
        <w:spacing w:before="240" w:line="240" w:lineRule="auto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Etape 2 de l’étude de cas : Réfléchir sur la promotion du tourisme local comme une alternative</w:t>
      </w:r>
    </w:p>
    <w:p w14:paraId="00000030" w14:textId="77777777" w:rsidR="00A43E59" w:rsidRPr="00F60EA5" w:rsidRDefault="00385D18">
      <w:pPr>
        <w:spacing w:before="240" w:line="240" w:lineRule="auto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eastAsia="Arial Unicode MS" w:hAnsiTheme="majorHAnsi" w:cstheme="majorHAnsi"/>
          <w:sz w:val="24"/>
          <w:szCs w:val="24"/>
        </w:rPr>
        <w:t>→ Visionnage de la vidéo (</w:t>
      </w:r>
      <w:proofErr w:type="spellStart"/>
      <w:r w:rsidRPr="00F60EA5">
        <w:rPr>
          <w:rFonts w:asciiTheme="majorHAnsi" w:eastAsia="Arial Unicode MS" w:hAnsiTheme="majorHAnsi" w:cstheme="majorHAnsi"/>
          <w:sz w:val="24"/>
          <w:szCs w:val="24"/>
        </w:rPr>
        <w:t>cf</w:t>
      </w:r>
      <w:proofErr w:type="spellEnd"/>
      <w:r w:rsidRPr="00F60EA5">
        <w:rPr>
          <w:rFonts w:asciiTheme="majorHAnsi" w:eastAsia="Arial Unicode MS" w:hAnsiTheme="majorHAnsi" w:cstheme="majorHAnsi"/>
          <w:sz w:val="24"/>
          <w:szCs w:val="24"/>
        </w:rPr>
        <w:t xml:space="preserve"> p10 du diaporama)</w:t>
      </w:r>
    </w:p>
    <w:p w14:paraId="00000031" w14:textId="77777777" w:rsidR="00A43E59" w:rsidRPr="00F60EA5" w:rsidRDefault="00385D18">
      <w:pPr>
        <w:spacing w:before="240" w:line="240" w:lineRule="auto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eastAsia="Arial Unicode MS" w:hAnsiTheme="majorHAnsi" w:cstheme="majorHAnsi"/>
          <w:sz w:val="24"/>
          <w:szCs w:val="24"/>
        </w:rPr>
        <w:t>→ Travail de rédaction individuel</w:t>
      </w:r>
    </w:p>
    <w:p w14:paraId="00000032" w14:textId="77777777" w:rsidR="00A43E59" w:rsidRDefault="00385D18">
      <w:pPr>
        <w:spacing w:before="240" w:line="240" w:lineRule="auto"/>
        <w:rPr>
          <w:rFonts w:asciiTheme="majorHAnsi" w:eastAsia="Arial Unicode MS" w:hAnsiTheme="majorHAnsi" w:cstheme="majorHAnsi"/>
          <w:sz w:val="24"/>
          <w:szCs w:val="24"/>
        </w:rPr>
      </w:pPr>
      <w:r w:rsidRPr="00F60EA5">
        <w:rPr>
          <w:rFonts w:asciiTheme="majorHAnsi" w:eastAsia="Arial Unicode MS" w:hAnsiTheme="majorHAnsi" w:cstheme="majorHAnsi"/>
          <w:sz w:val="24"/>
          <w:szCs w:val="24"/>
        </w:rPr>
        <w:t>→ Correction commune sous forme de carte heuristique (</w:t>
      </w:r>
      <w:proofErr w:type="spellStart"/>
      <w:r w:rsidRPr="00F60EA5">
        <w:rPr>
          <w:rFonts w:asciiTheme="majorHAnsi" w:eastAsia="Arial Unicode MS" w:hAnsiTheme="majorHAnsi" w:cstheme="majorHAnsi"/>
          <w:sz w:val="24"/>
          <w:szCs w:val="24"/>
        </w:rPr>
        <w:t>cf</w:t>
      </w:r>
      <w:proofErr w:type="spellEnd"/>
      <w:r w:rsidRPr="00F60EA5">
        <w:rPr>
          <w:rFonts w:asciiTheme="majorHAnsi" w:eastAsia="Arial Unicode MS" w:hAnsiTheme="majorHAnsi" w:cstheme="majorHAnsi"/>
          <w:sz w:val="24"/>
          <w:szCs w:val="24"/>
        </w:rPr>
        <w:t xml:space="preserve"> p 11 du diaporama)</w:t>
      </w:r>
    </w:p>
    <w:p w14:paraId="3A57A81B" w14:textId="77777777" w:rsidR="00F60EA5" w:rsidRPr="00F60EA5" w:rsidRDefault="00F60EA5">
      <w:pPr>
        <w:spacing w:before="240" w:line="240" w:lineRule="auto"/>
        <w:rPr>
          <w:rFonts w:asciiTheme="majorHAnsi" w:hAnsiTheme="majorHAnsi" w:cstheme="majorHAnsi"/>
          <w:sz w:val="24"/>
          <w:szCs w:val="24"/>
        </w:rPr>
      </w:pPr>
    </w:p>
    <w:p w14:paraId="00000033" w14:textId="77777777" w:rsidR="00A43E59" w:rsidRPr="00F60EA5" w:rsidRDefault="00A43E59">
      <w:pPr>
        <w:rPr>
          <w:rFonts w:asciiTheme="majorHAnsi" w:hAnsiTheme="majorHAnsi" w:cstheme="majorHAnsi"/>
          <w:sz w:val="24"/>
          <w:szCs w:val="24"/>
        </w:rPr>
      </w:pPr>
    </w:p>
    <w:p w14:paraId="00000034" w14:textId="3A88438D" w:rsidR="00A43E59" w:rsidRPr="00F60EA5" w:rsidRDefault="00385D18" w:rsidP="00F60EA5">
      <w:pPr>
        <w:pStyle w:val="Paragraphedeliste"/>
        <w:numPr>
          <w:ilvl w:val="0"/>
          <w:numId w:val="11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b/>
          <w:bCs/>
          <w:sz w:val="24"/>
          <w:szCs w:val="24"/>
        </w:rPr>
        <w:t>Séance 3 (1h)</w:t>
      </w:r>
      <w:r w:rsidRPr="00F60EA5">
        <w:rPr>
          <w:rFonts w:asciiTheme="majorHAnsi" w:hAnsiTheme="majorHAnsi" w:cstheme="majorHAnsi"/>
          <w:sz w:val="24"/>
          <w:szCs w:val="24"/>
        </w:rPr>
        <w:t xml:space="preserve"> : Mise en perspective et bilan du chapitre</w:t>
      </w:r>
    </w:p>
    <w:p w14:paraId="00000035" w14:textId="77777777" w:rsidR="00A43E59" w:rsidRPr="00F60EA5" w:rsidRDefault="00385D18">
      <w:pPr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Cours dialogué : remplissage du vocabulaire avec les élèves grâce à des questions orales sur l’étude de cas (</w:t>
      </w:r>
      <w:proofErr w:type="spellStart"/>
      <w:r w:rsidRPr="00F60EA5">
        <w:rPr>
          <w:rFonts w:asciiTheme="majorHAnsi" w:hAnsiTheme="majorHAnsi" w:cstheme="majorHAnsi"/>
          <w:sz w:val="24"/>
          <w:szCs w:val="24"/>
        </w:rPr>
        <w:t>cf</w:t>
      </w:r>
      <w:proofErr w:type="spellEnd"/>
      <w:r w:rsidRPr="00F60EA5">
        <w:rPr>
          <w:rFonts w:asciiTheme="majorHAnsi" w:hAnsiTheme="majorHAnsi" w:cstheme="majorHAnsi"/>
          <w:sz w:val="24"/>
          <w:szCs w:val="24"/>
        </w:rPr>
        <w:t xml:space="preserve"> p16 du diaporama) </w:t>
      </w:r>
    </w:p>
    <w:p w14:paraId="00000036" w14:textId="77777777" w:rsidR="00A43E59" w:rsidRPr="00F60EA5" w:rsidRDefault="00385D18">
      <w:pPr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Distribution et lecture de la carte heuristique bilan du chapitre (</w:t>
      </w:r>
      <w:proofErr w:type="spellStart"/>
      <w:r w:rsidRPr="00F60EA5">
        <w:rPr>
          <w:rFonts w:asciiTheme="majorHAnsi" w:hAnsiTheme="majorHAnsi" w:cstheme="majorHAnsi"/>
          <w:sz w:val="24"/>
          <w:szCs w:val="24"/>
        </w:rPr>
        <w:t>cf</w:t>
      </w:r>
      <w:proofErr w:type="spellEnd"/>
      <w:r w:rsidRPr="00F60EA5">
        <w:rPr>
          <w:rFonts w:asciiTheme="majorHAnsi" w:hAnsiTheme="majorHAnsi" w:cstheme="majorHAnsi"/>
          <w:sz w:val="24"/>
          <w:szCs w:val="24"/>
        </w:rPr>
        <w:t xml:space="preserve"> p17 du diaporama)</w:t>
      </w:r>
    </w:p>
    <w:p w14:paraId="00000037" w14:textId="77777777" w:rsidR="00A43E59" w:rsidRPr="00F60EA5" w:rsidRDefault="00385D18">
      <w:pPr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Travail autonome : les élèves complètent le planisphère de leur fiche vocabulaire et la légende à l’aide de la carte projetée (p18 du diaporama)</w:t>
      </w:r>
    </w:p>
    <w:p w14:paraId="00000038" w14:textId="77777777" w:rsidR="00A43E59" w:rsidRPr="00F60EA5" w:rsidRDefault="00A43E59">
      <w:pPr>
        <w:rPr>
          <w:rFonts w:asciiTheme="majorHAnsi" w:hAnsiTheme="majorHAnsi" w:cstheme="majorHAnsi"/>
          <w:sz w:val="24"/>
          <w:szCs w:val="24"/>
        </w:rPr>
      </w:pPr>
    </w:p>
    <w:p w14:paraId="00000039" w14:textId="77777777" w:rsidR="00A43E59" w:rsidRPr="00F60EA5" w:rsidRDefault="00385D18" w:rsidP="00F60EA5">
      <w:pPr>
        <w:pStyle w:val="Paragraphedeliste"/>
        <w:numPr>
          <w:ilvl w:val="0"/>
          <w:numId w:val="11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b/>
          <w:bCs/>
          <w:sz w:val="24"/>
          <w:szCs w:val="24"/>
        </w:rPr>
        <w:t>Séance 4 (1h) :</w:t>
      </w:r>
      <w:r w:rsidRPr="00F60EA5">
        <w:rPr>
          <w:rFonts w:asciiTheme="majorHAnsi" w:hAnsiTheme="majorHAnsi" w:cstheme="majorHAnsi"/>
          <w:sz w:val="24"/>
          <w:szCs w:val="24"/>
        </w:rPr>
        <w:t xml:space="preserve"> Entraînement guidé au paragraphe argumenté noté</w:t>
      </w:r>
    </w:p>
    <w:p w14:paraId="0000003A" w14:textId="77777777" w:rsidR="00A43E59" w:rsidRPr="00F60EA5" w:rsidRDefault="00385D18">
      <w:pPr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Méthode déjà vue dans le chapitre précédent mais rappels oraux</w:t>
      </w:r>
    </w:p>
    <w:p w14:paraId="0000003B" w14:textId="77777777" w:rsidR="00A43E59" w:rsidRPr="00F60EA5" w:rsidRDefault="00385D18">
      <w:pPr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Lancer les élèves sur le brouillon : définitions, arguments, exemple</w:t>
      </w:r>
    </w:p>
    <w:p w14:paraId="0000003C" w14:textId="77777777" w:rsidR="00A43E59" w:rsidRPr="00F60EA5" w:rsidRDefault="00385D18">
      <w:pPr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(</w:t>
      </w:r>
      <w:proofErr w:type="gramStart"/>
      <w:r w:rsidRPr="00F60EA5">
        <w:rPr>
          <w:rFonts w:asciiTheme="majorHAnsi" w:hAnsiTheme="majorHAnsi" w:cstheme="majorHAnsi"/>
          <w:sz w:val="24"/>
          <w:szCs w:val="24"/>
        </w:rPr>
        <w:t>selon</w:t>
      </w:r>
      <w:proofErr w:type="gramEnd"/>
      <w:r w:rsidRPr="00F60EA5">
        <w:rPr>
          <w:rFonts w:asciiTheme="majorHAnsi" w:hAnsiTheme="majorHAnsi" w:cstheme="majorHAnsi"/>
          <w:sz w:val="24"/>
          <w:szCs w:val="24"/>
        </w:rPr>
        <w:t xml:space="preserve"> l’aisance des élèves, possible de faire la première étape de brouillon en commun)</w:t>
      </w:r>
    </w:p>
    <w:p w14:paraId="0000003D" w14:textId="77777777" w:rsidR="00A43E59" w:rsidRPr="00F60EA5" w:rsidRDefault="00385D18">
      <w:pPr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Distribution de la fiche d’aide à la rédaction. Lecture en commun.</w:t>
      </w:r>
    </w:p>
    <w:p w14:paraId="0000003E" w14:textId="77777777" w:rsidR="00A43E59" w:rsidRPr="00F60EA5" w:rsidRDefault="00385D18">
      <w:pPr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Travail individuel de rédaction ramassé.</w:t>
      </w:r>
    </w:p>
    <w:p w14:paraId="0000003F" w14:textId="03BCC94D" w:rsidR="00A43E59" w:rsidRPr="00F60EA5" w:rsidRDefault="00385D18">
      <w:pPr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Les élèves ont accès à leurs cahiers</w:t>
      </w:r>
      <w:r w:rsidR="00F60EA5">
        <w:rPr>
          <w:rFonts w:asciiTheme="majorHAnsi" w:hAnsiTheme="majorHAnsi" w:cstheme="majorHAnsi"/>
          <w:sz w:val="24"/>
          <w:szCs w:val="24"/>
        </w:rPr>
        <w:t>.</w:t>
      </w:r>
    </w:p>
    <w:p w14:paraId="00000040" w14:textId="77777777" w:rsidR="00A43E59" w:rsidRPr="00F60EA5" w:rsidRDefault="00A43E59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00000041" w14:textId="77777777" w:rsidR="00A43E59" w:rsidRPr="00F60EA5" w:rsidRDefault="00385D18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60EA5">
        <w:rPr>
          <w:rFonts w:asciiTheme="majorHAnsi" w:hAnsiTheme="majorHAnsi" w:cstheme="majorHAnsi"/>
          <w:b/>
          <w:bCs/>
          <w:sz w:val="24"/>
          <w:szCs w:val="24"/>
        </w:rPr>
        <w:t xml:space="preserve">Autre proposition d’évaluation : </w:t>
      </w:r>
    </w:p>
    <w:p w14:paraId="00000042" w14:textId="77777777" w:rsidR="00A43E59" w:rsidRPr="00F60EA5" w:rsidRDefault="00A43E59">
      <w:pPr>
        <w:jc w:val="both"/>
        <w:rPr>
          <w:rFonts w:asciiTheme="majorHAnsi" w:hAnsiTheme="majorHAnsi" w:cstheme="majorHAnsi"/>
          <w:sz w:val="24"/>
          <w:szCs w:val="24"/>
          <w:u w:val="single"/>
        </w:rPr>
      </w:pPr>
    </w:p>
    <w:p w14:paraId="00000043" w14:textId="7C8345E4" w:rsidR="00A43E59" w:rsidRPr="00F60EA5" w:rsidRDefault="00385D18" w:rsidP="00F60EA5">
      <w:pPr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 xml:space="preserve">L'évaluation de la séquence peut prendre la forme d’une sorte de commentaire de document guidé. Plusieurs captures d’écran d’une vidéo </w:t>
      </w:r>
      <w:proofErr w:type="spellStart"/>
      <w:r w:rsidRPr="00F60EA5">
        <w:rPr>
          <w:rFonts w:asciiTheme="majorHAnsi" w:hAnsiTheme="majorHAnsi" w:cstheme="majorHAnsi"/>
          <w:sz w:val="24"/>
          <w:szCs w:val="24"/>
        </w:rPr>
        <w:t>TikTok</w:t>
      </w:r>
      <w:proofErr w:type="spellEnd"/>
      <w:r w:rsidRPr="00F60EA5">
        <w:rPr>
          <w:rFonts w:asciiTheme="majorHAnsi" w:hAnsiTheme="majorHAnsi" w:cstheme="majorHAnsi"/>
          <w:sz w:val="24"/>
          <w:szCs w:val="24"/>
        </w:rPr>
        <w:t xml:space="preserve"> sont présentées aux élèves. Après les avoir décrit</w:t>
      </w:r>
      <w:r w:rsidR="00F60EA5">
        <w:rPr>
          <w:rFonts w:asciiTheme="majorHAnsi" w:hAnsiTheme="majorHAnsi" w:cstheme="majorHAnsi"/>
          <w:sz w:val="24"/>
          <w:szCs w:val="24"/>
        </w:rPr>
        <w:t>s</w:t>
      </w:r>
      <w:r w:rsidRPr="00F60EA5">
        <w:rPr>
          <w:rFonts w:asciiTheme="majorHAnsi" w:hAnsiTheme="majorHAnsi" w:cstheme="majorHAnsi"/>
          <w:sz w:val="24"/>
          <w:szCs w:val="24"/>
        </w:rPr>
        <w:t>, ils doivent extraire les stratégies visuelles mises en place par le créateur de contenu pour capter l’attention du spectateur, puis, émettre des hypothèses sur l’objectivité de la vidéo en justifiant à l’aide d’indices.</w:t>
      </w:r>
    </w:p>
    <w:p w14:paraId="00000044" w14:textId="77777777" w:rsidR="00A43E59" w:rsidRPr="00F60EA5" w:rsidRDefault="00A43E59">
      <w:pPr>
        <w:rPr>
          <w:rFonts w:asciiTheme="majorHAnsi" w:hAnsiTheme="majorHAnsi" w:cstheme="majorHAnsi"/>
          <w:sz w:val="24"/>
          <w:szCs w:val="24"/>
        </w:rPr>
      </w:pPr>
    </w:p>
    <w:p w14:paraId="00000045" w14:textId="18008690" w:rsidR="00A43E59" w:rsidRPr="00F60EA5" w:rsidRDefault="00385D18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F60EA5">
        <w:rPr>
          <w:rFonts w:asciiTheme="majorHAnsi" w:hAnsiTheme="majorHAnsi" w:cstheme="majorHAnsi"/>
          <w:b/>
          <w:bCs/>
          <w:sz w:val="24"/>
          <w:szCs w:val="24"/>
        </w:rPr>
        <w:t>Bibliographie</w:t>
      </w:r>
      <w:r w:rsidR="00F60EA5" w:rsidRPr="00F60EA5">
        <w:rPr>
          <w:rFonts w:asciiTheme="majorHAnsi" w:hAnsiTheme="majorHAnsi" w:cstheme="majorHAnsi"/>
          <w:b/>
          <w:bCs/>
          <w:sz w:val="24"/>
          <w:szCs w:val="24"/>
        </w:rPr>
        <w:t> :</w:t>
      </w:r>
    </w:p>
    <w:p w14:paraId="00000046" w14:textId="77777777" w:rsidR="00A43E59" w:rsidRPr="00F60EA5" w:rsidRDefault="00385D18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 xml:space="preserve">GAVEAU David, “From Rice Fields to Beach Clubs, and </w:t>
      </w:r>
      <w:proofErr w:type="spellStart"/>
      <w:r w:rsidRPr="00F60EA5">
        <w:rPr>
          <w:rFonts w:asciiTheme="majorHAnsi" w:hAnsiTheme="majorHAnsi" w:cstheme="majorHAnsi"/>
          <w:sz w:val="24"/>
          <w:szCs w:val="24"/>
        </w:rPr>
        <w:t>Sprawling</w:t>
      </w:r>
      <w:proofErr w:type="spellEnd"/>
      <w:r w:rsidRPr="00F60EA5">
        <w:rPr>
          <w:rFonts w:asciiTheme="majorHAnsi" w:hAnsiTheme="majorHAnsi" w:cstheme="majorHAnsi"/>
          <w:sz w:val="24"/>
          <w:szCs w:val="24"/>
        </w:rPr>
        <w:t xml:space="preserve"> </w:t>
      </w:r>
      <w:proofErr w:type="gramStart"/>
      <w:r w:rsidRPr="00F60EA5">
        <w:rPr>
          <w:rFonts w:asciiTheme="majorHAnsi" w:hAnsiTheme="majorHAnsi" w:cstheme="majorHAnsi"/>
          <w:sz w:val="24"/>
          <w:szCs w:val="24"/>
        </w:rPr>
        <w:t>Cities:</w:t>
      </w:r>
      <w:proofErr w:type="gramEnd"/>
      <w:r w:rsidRPr="00F60EA5">
        <w:rPr>
          <w:rFonts w:asciiTheme="majorHAnsi" w:hAnsiTheme="majorHAnsi" w:cstheme="majorHAnsi"/>
          <w:sz w:val="24"/>
          <w:szCs w:val="24"/>
        </w:rPr>
        <w:t xml:space="preserve"> 60 </w:t>
      </w:r>
      <w:proofErr w:type="spellStart"/>
      <w:r w:rsidRPr="00F60EA5">
        <w:rPr>
          <w:rFonts w:asciiTheme="majorHAnsi" w:hAnsiTheme="majorHAnsi" w:cstheme="majorHAnsi"/>
          <w:sz w:val="24"/>
          <w:szCs w:val="24"/>
        </w:rPr>
        <w:t>years</w:t>
      </w:r>
      <w:proofErr w:type="spellEnd"/>
      <w:r w:rsidRPr="00F60EA5">
        <w:rPr>
          <w:rFonts w:asciiTheme="majorHAnsi" w:hAnsiTheme="majorHAnsi" w:cstheme="majorHAnsi"/>
          <w:sz w:val="24"/>
          <w:szCs w:val="24"/>
        </w:rPr>
        <w:t xml:space="preserve"> of Change in Southern Bali” in </w:t>
      </w:r>
      <w:proofErr w:type="spellStart"/>
      <w:r w:rsidRPr="00F60EA5">
        <w:rPr>
          <w:rFonts w:asciiTheme="majorHAnsi" w:hAnsiTheme="majorHAnsi" w:cstheme="majorHAnsi"/>
          <w:i/>
          <w:iCs/>
          <w:sz w:val="24"/>
          <w:szCs w:val="24"/>
        </w:rPr>
        <w:t>Nusantara</w:t>
      </w:r>
      <w:proofErr w:type="spellEnd"/>
      <w:r w:rsidRPr="00F60EA5">
        <w:rPr>
          <w:rFonts w:asciiTheme="majorHAnsi" w:hAnsiTheme="majorHAnsi" w:cstheme="majorHAnsi"/>
          <w:i/>
          <w:iCs/>
          <w:sz w:val="24"/>
          <w:szCs w:val="24"/>
        </w:rPr>
        <w:t xml:space="preserve"> Atlas</w:t>
      </w:r>
      <w:r w:rsidRPr="00F60EA5">
        <w:rPr>
          <w:rFonts w:asciiTheme="majorHAnsi" w:hAnsiTheme="majorHAnsi" w:cstheme="majorHAnsi"/>
          <w:sz w:val="24"/>
          <w:szCs w:val="24"/>
        </w:rPr>
        <w:t>, 03/02/2025</w:t>
      </w:r>
      <w:r w:rsidRPr="00F60EA5">
        <w:rPr>
          <w:rFonts w:asciiTheme="majorHAnsi" w:hAnsiTheme="majorHAnsi" w:cstheme="majorHAnsi"/>
          <w:sz w:val="24"/>
          <w:szCs w:val="24"/>
          <w:u w:val="single"/>
        </w:rPr>
        <w:t xml:space="preserve"> </w:t>
      </w:r>
      <w:hyperlink r:id="rId9">
        <w:r w:rsidRPr="00F60EA5">
          <w:rPr>
            <w:rFonts w:asciiTheme="majorHAnsi" w:hAnsiTheme="majorHAnsi" w:cstheme="majorHAnsi"/>
            <w:color w:val="1155CC"/>
            <w:sz w:val="24"/>
            <w:szCs w:val="24"/>
            <w:u w:val="single"/>
          </w:rPr>
          <w:t>https://nusantara-atlas.org/from-rice-fields-to-beach-clubs-and-sprawling-cities-60-years-of-change-in-southern-bali/</w:t>
        </w:r>
      </w:hyperlink>
    </w:p>
    <w:p w14:paraId="7678CACD" w14:textId="77777777" w:rsidR="00F60EA5" w:rsidRDefault="00385D18" w:rsidP="00F60EA5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 xml:space="preserve">GOURDON Jessica, “Le tourisme sous influence”, in </w:t>
      </w:r>
      <w:r w:rsidRPr="00F60EA5">
        <w:rPr>
          <w:rFonts w:asciiTheme="majorHAnsi" w:hAnsiTheme="majorHAnsi" w:cstheme="majorHAnsi"/>
          <w:i/>
          <w:iCs/>
          <w:sz w:val="24"/>
          <w:szCs w:val="24"/>
        </w:rPr>
        <w:t>Le Monde</w:t>
      </w:r>
      <w:r w:rsidRPr="00F60EA5">
        <w:rPr>
          <w:rFonts w:asciiTheme="majorHAnsi" w:hAnsiTheme="majorHAnsi" w:cstheme="majorHAnsi"/>
          <w:sz w:val="24"/>
          <w:szCs w:val="24"/>
        </w:rPr>
        <w:t>, 06/05/2025, consulté le 04/03/2026 à 14 h 25</w:t>
      </w:r>
      <w:r w:rsidR="00F60EA5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0000047" w14:textId="2B8B2C8E" w:rsidR="00A43E59" w:rsidRPr="00F60EA5" w:rsidRDefault="00F60EA5" w:rsidP="00F60EA5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hyperlink r:id="rId10" w:history="1">
        <w:r w:rsidRPr="00ED67E6">
          <w:rPr>
            <w:rStyle w:val="Lienhypertexte"/>
            <w:rFonts w:asciiTheme="majorHAnsi" w:hAnsiTheme="majorHAnsi" w:cstheme="majorHAnsi"/>
            <w:sz w:val="24"/>
            <w:szCs w:val="24"/>
          </w:rPr>
          <w:t>https://www.lemonde.fr/economie/article/2025/05/04/le-tourisme-sous-l-influence-de-tiktok-et-d-instagram-comment-les-reseaux-sociaux-ont-transforme-nos-vacances_6602794_3234.html</w:t>
        </w:r>
      </w:hyperlink>
    </w:p>
    <w:p w14:paraId="00000048" w14:textId="77777777" w:rsidR="00A43E59" w:rsidRPr="00F60EA5" w:rsidRDefault="00385D18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 xml:space="preserve">Ministère de l’Éducation nationale et de la Jeunesse. (2020). </w:t>
      </w:r>
      <w:r w:rsidRPr="00F60EA5">
        <w:rPr>
          <w:rFonts w:asciiTheme="majorHAnsi" w:hAnsiTheme="majorHAnsi" w:cstheme="majorHAnsi"/>
          <w:i/>
          <w:iCs/>
          <w:sz w:val="24"/>
          <w:szCs w:val="24"/>
        </w:rPr>
        <w:t>Repères de progressivité de la maîtrise des compétences numériques,</w:t>
      </w:r>
      <w:r w:rsidRPr="00F60EA5">
        <w:rPr>
          <w:rFonts w:asciiTheme="majorHAnsi" w:hAnsiTheme="majorHAnsi" w:cstheme="majorHAnsi"/>
          <w:sz w:val="24"/>
          <w:szCs w:val="24"/>
        </w:rPr>
        <w:t xml:space="preserve"> Réseau Canopé, 2020 </w:t>
      </w:r>
      <w:hyperlink r:id="rId11">
        <w:r w:rsidRPr="00F60EA5">
          <w:rPr>
            <w:rFonts w:asciiTheme="majorHAnsi" w:hAnsiTheme="majorHAnsi" w:cstheme="majorHAnsi"/>
            <w:color w:val="1155CC"/>
            <w:sz w:val="24"/>
            <w:szCs w:val="24"/>
            <w:u w:val="single"/>
          </w:rPr>
          <w:t>https://eduscol.education.fr/document/1125453/download</w:t>
        </w:r>
      </w:hyperlink>
    </w:p>
    <w:p w14:paraId="00000049" w14:textId="77777777" w:rsidR="00A43E59" w:rsidRPr="00F60EA5" w:rsidRDefault="00385D18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 xml:space="preserve">AUDIGIER, François, 2014. Histoire, géographie, citoyenneté : les moteurs clandestins du sens. Recherches en didactiques, 2014/2 N° 18, p.9-23. DOI : 10.3917/rdid.018.0009. URL : </w:t>
      </w:r>
      <w:hyperlink r:id="rId12">
        <w:r w:rsidRPr="00F60EA5">
          <w:rPr>
            <w:rFonts w:asciiTheme="majorHAnsi" w:hAnsiTheme="majorHAnsi" w:cstheme="majorHAnsi"/>
            <w:color w:val="1155CC"/>
            <w:sz w:val="24"/>
            <w:szCs w:val="24"/>
            <w:u w:val="single"/>
          </w:rPr>
          <w:t>https://shs.cairn.info/revue-recherches-en-didactiques1-2014-2-page-9?lang=fr</w:t>
        </w:r>
      </w:hyperlink>
      <w:r w:rsidRPr="00F60EA5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0000004A" w14:textId="77777777" w:rsidR="00A43E59" w:rsidRPr="00F60EA5" w:rsidRDefault="00385D18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F60EA5">
        <w:rPr>
          <w:rFonts w:asciiTheme="majorHAnsi" w:hAnsiTheme="majorHAnsi" w:cstheme="majorHAnsi"/>
          <w:sz w:val="24"/>
          <w:szCs w:val="24"/>
        </w:rPr>
        <w:t>Site Éduscol : "Éducation aux médias et à l'information"</w:t>
      </w:r>
    </w:p>
    <w:p w14:paraId="0000004B" w14:textId="77777777" w:rsidR="00A43E59" w:rsidRPr="00F60EA5" w:rsidRDefault="00385D18">
      <w:pPr>
        <w:spacing w:before="240" w:after="240"/>
        <w:rPr>
          <w:rFonts w:asciiTheme="majorHAnsi" w:hAnsiTheme="majorHAnsi" w:cstheme="majorHAnsi"/>
          <w:sz w:val="24"/>
          <w:szCs w:val="24"/>
        </w:rPr>
      </w:pPr>
      <w:hyperlink r:id="rId13">
        <w:r w:rsidRPr="00F60EA5">
          <w:rPr>
            <w:rFonts w:asciiTheme="majorHAnsi" w:hAnsiTheme="majorHAnsi" w:cstheme="majorHAnsi"/>
            <w:color w:val="1155CC"/>
            <w:sz w:val="24"/>
            <w:szCs w:val="24"/>
            <w:u w:val="single"/>
          </w:rPr>
          <w:t>https://encoursdhistoire.wordpress.com/le-tourisme-et-ses-espaces/</w:t>
        </w:r>
      </w:hyperlink>
      <w:r w:rsidRPr="00F60EA5">
        <w:rPr>
          <w:rFonts w:asciiTheme="majorHAnsi" w:hAnsiTheme="majorHAnsi" w:cstheme="majorHAnsi"/>
          <w:sz w:val="24"/>
          <w:szCs w:val="24"/>
        </w:rPr>
        <w:t xml:space="preserve"> pour le schéma bilan du chapitre</w:t>
      </w:r>
    </w:p>
    <w:p w14:paraId="0000004C" w14:textId="4EB800C4" w:rsidR="00A43E59" w:rsidRPr="00F60EA5" w:rsidRDefault="00385D18">
      <w:pPr>
        <w:rPr>
          <w:rFonts w:asciiTheme="majorHAnsi" w:hAnsiTheme="majorHAnsi" w:cstheme="majorHAnsi"/>
        </w:rPr>
      </w:pPr>
      <w:proofErr w:type="spellStart"/>
      <w:r w:rsidRPr="00F60EA5">
        <w:rPr>
          <w:rFonts w:asciiTheme="majorHAnsi" w:hAnsiTheme="majorHAnsi" w:cstheme="majorHAnsi"/>
          <w:sz w:val="24"/>
          <w:szCs w:val="24"/>
        </w:rPr>
        <w:t>Wahham</w:t>
      </w:r>
      <w:proofErr w:type="spellEnd"/>
      <w:r w:rsidRPr="00F60EA5">
        <w:rPr>
          <w:rFonts w:asciiTheme="majorHAnsi" w:hAnsiTheme="majorHAnsi" w:cstheme="majorHAnsi"/>
          <w:sz w:val="24"/>
          <w:szCs w:val="24"/>
        </w:rPr>
        <w:t xml:space="preserve"> Dounia </w:t>
      </w:r>
      <w:r w:rsidR="00F60EA5">
        <w:rPr>
          <w:rFonts w:asciiTheme="majorHAnsi" w:hAnsiTheme="majorHAnsi" w:cstheme="majorHAnsi"/>
          <w:sz w:val="24"/>
          <w:szCs w:val="24"/>
        </w:rPr>
        <w:t>&lt;</w:t>
      </w:r>
      <w:r w:rsidRPr="00F60EA5">
        <w:rPr>
          <w:rFonts w:asciiTheme="majorHAnsi" w:hAnsiTheme="majorHAnsi" w:cstheme="majorHAnsi"/>
          <w:sz w:val="24"/>
          <w:szCs w:val="24"/>
        </w:rPr>
        <w:t>dounia.wahham@etu.univ-tlse2.fr</w:t>
      </w:r>
      <w:r w:rsidR="00F60EA5">
        <w:rPr>
          <w:rFonts w:asciiTheme="majorHAnsi" w:hAnsiTheme="majorHAnsi" w:cstheme="majorHAnsi"/>
        </w:rPr>
        <w:t>&gt;</w:t>
      </w:r>
    </w:p>
    <w:p w14:paraId="0000004D" w14:textId="77777777" w:rsidR="00A43E59" w:rsidRPr="00F60EA5" w:rsidRDefault="00A43E59">
      <w:pPr>
        <w:rPr>
          <w:rFonts w:asciiTheme="majorHAnsi" w:hAnsiTheme="majorHAnsi" w:cstheme="majorHAnsi"/>
          <w:sz w:val="24"/>
          <w:szCs w:val="24"/>
        </w:rPr>
      </w:pPr>
    </w:p>
    <w:p w14:paraId="0000004E" w14:textId="77777777" w:rsidR="00A43E59" w:rsidRPr="00F60EA5" w:rsidRDefault="00A43E59">
      <w:pPr>
        <w:rPr>
          <w:rFonts w:asciiTheme="majorHAnsi" w:hAnsiTheme="majorHAnsi" w:cstheme="majorHAnsi"/>
          <w:sz w:val="24"/>
          <w:szCs w:val="24"/>
        </w:rPr>
      </w:pPr>
    </w:p>
    <w:sectPr w:rsidR="00A43E59" w:rsidRPr="00F60EA5" w:rsidSect="00F60EA5">
      <w:pgSz w:w="11909" w:h="16834"/>
      <w:pgMar w:top="284" w:right="569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B01E03-744E-43BF-90AE-1E330058A97D}"/>
    <w:embedBold r:id="rId2" w:fontKey="{B2EA01E1-874F-4636-B656-E2583C405150}"/>
    <w:embedItalic r:id="rId3" w:fontKey="{C6564275-F487-447C-A7AA-5612D8CBAB84}"/>
  </w:font>
  <w:font w:name="Arial Unicode MS"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4874398-A064-4502-8759-444FFC90CA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70C2E"/>
    <w:multiLevelType w:val="multilevel"/>
    <w:tmpl w:val="C2B2A6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7F4489"/>
    <w:multiLevelType w:val="multilevel"/>
    <w:tmpl w:val="092072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0E2DB2"/>
    <w:multiLevelType w:val="multilevel"/>
    <w:tmpl w:val="794839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D7756C"/>
    <w:multiLevelType w:val="multilevel"/>
    <w:tmpl w:val="9FB8BF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9941C4"/>
    <w:multiLevelType w:val="multilevel"/>
    <w:tmpl w:val="9B9A12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E631A6"/>
    <w:multiLevelType w:val="multilevel"/>
    <w:tmpl w:val="AF409B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3BB7A49"/>
    <w:multiLevelType w:val="multilevel"/>
    <w:tmpl w:val="DDB87E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9F57C6"/>
    <w:multiLevelType w:val="hybridMultilevel"/>
    <w:tmpl w:val="7F8A653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5F60F5"/>
    <w:multiLevelType w:val="multilevel"/>
    <w:tmpl w:val="B1521D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7322FA0"/>
    <w:multiLevelType w:val="multilevel"/>
    <w:tmpl w:val="75D885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3E90CE1"/>
    <w:multiLevelType w:val="hybridMultilevel"/>
    <w:tmpl w:val="AF40DCE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5AF0506"/>
    <w:multiLevelType w:val="multilevel"/>
    <w:tmpl w:val="E49CE7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8AB2308"/>
    <w:multiLevelType w:val="multilevel"/>
    <w:tmpl w:val="50B820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EA57755"/>
    <w:multiLevelType w:val="multilevel"/>
    <w:tmpl w:val="24C882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0471973"/>
    <w:multiLevelType w:val="multilevel"/>
    <w:tmpl w:val="EC46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86790778">
    <w:abstractNumId w:val="9"/>
  </w:num>
  <w:num w:numId="2" w16cid:durableId="1688747404">
    <w:abstractNumId w:val="0"/>
  </w:num>
  <w:num w:numId="3" w16cid:durableId="1471896245">
    <w:abstractNumId w:val="13"/>
  </w:num>
  <w:num w:numId="4" w16cid:durableId="789712276">
    <w:abstractNumId w:val="8"/>
  </w:num>
  <w:num w:numId="5" w16cid:durableId="385878226">
    <w:abstractNumId w:val="5"/>
  </w:num>
  <w:num w:numId="6" w16cid:durableId="25720732">
    <w:abstractNumId w:val="2"/>
  </w:num>
  <w:num w:numId="7" w16cid:durableId="1919830223">
    <w:abstractNumId w:val="4"/>
  </w:num>
  <w:num w:numId="8" w16cid:durableId="945505803">
    <w:abstractNumId w:val="12"/>
  </w:num>
  <w:num w:numId="9" w16cid:durableId="1684697138">
    <w:abstractNumId w:val="14"/>
  </w:num>
  <w:num w:numId="10" w16cid:durableId="1425804136">
    <w:abstractNumId w:val="11"/>
  </w:num>
  <w:num w:numId="11" w16cid:durableId="1903639449">
    <w:abstractNumId w:val="7"/>
  </w:num>
  <w:num w:numId="12" w16cid:durableId="269510882">
    <w:abstractNumId w:val="6"/>
  </w:num>
  <w:num w:numId="13" w16cid:durableId="310331189">
    <w:abstractNumId w:val="1"/>
  </w:num>
  <w:num w:numId="14" w16cid:durableId="1425686446">
    <w:abstractNumId w:val="10"/>
  </w:num>
  <w:num w:numId="15" w16cid:durableId="1002708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E59"/>
    <w:rsid w:val="000425EB"/>
    <w:rsid w:val="00376597"/>
    <w:rsid w:val="00385D18"/>
    <w:rsid w:val="00A43E59"/>
    <w:rsid w:val="00C17529"/>
    <w:rsid w:val="00F6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A701C"/>
  <w15:docId w15:val="{3DF15312-2505-43CA-BF69-CFED4CA5D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F60EA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60EA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60E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be-arts-lettres-sciences-humaines.apps.education.fr/w/8fLH3weQWD18zHgn7RQbMX" TargetMode="External"/><Relationship Id="rId13" Type="http://schemas.openxmlformats.org/officeDocument/2006/relationships/hyperlink" Target="https://encoursdhistoire.wordpress.com/le-tourisme-et-ses-espace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ube-arts-lettres-sciences-humaines.apps.education.fr/w/iDEpewdiZoj6bVoQmX91iu" TargetMode="External"/><Relationship Id="rId12" Type="http://schemas.openxmlformats.org/officeDocument/2006/relationships/hyperlink" Target="https://shs.cairn.info/revue-recherches-en-didactiques1-2014-2-page-9?lang=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ube-arts-lettres-sciences-humaines.apps.education.fr/w/7wRRXk3u2fLK1RusVrCuBR" TargetMode="External"/><Relationship Id="rId11" Type="http://schemas.openxmlformats.org/officeDocument/2006/relationships/hyperlink" Target="https://eduscol.education.fr/document/1125453/download" TargetMode="External"/><Relationship Id="rId5" Type="http://schemas.openxmlformats.org/officeDocument/2006/relationships/hyperlink" Target="https://www.canva.com/design/DAHC48rM8vE/8-j5uqMbPhjDmuTPVoaJrQ/edit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lemonde.fr/economie/article/2025/05/04/le-tourisme-sous-l-influence-de-tiktok-et-d-instagram-comment-les-reseaux-sociaux-ont-transforme-nos-vacances_6602794_3234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usantara-atlas.org/from-rice-fields-to-beach-clubs-and-sprawling-cities-60-years-of-change-in-southern-bali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1154</Words>
  <Characters>6352</Characters>
  <Application>Microsoft Office Word</Application>
  <DocSecurity>0</DocSecurity>
  <Lines>52</Lines>
  <Paragraphs>14</Paragraphs>
  <ScaleCrop>false</ScaleCrop>
  <Company/>
  <LinksUpToDate>false</LinksUpToDate>
  <CharactersWithSpaces>7492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perrine Gourio</cp:lastModifiedBy>
  <cp:revision>3</cp:revision>
  <dcterms:created xsi:type="dcterms:W3CDTF">2026-05-03T09:20:00Z</dcterms:created>
  <dcterms:modified xsi:type="dcterms:W3CDTF">2026-05-03T09:47:00Z</dcterms:modified>
</cp:coreProperties>
</file>