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spacing w:val="6"/>
          <w:u w:val="single"/>
        </w:rPr>
      </w:pPr>
      <w:r>
        <w:rPr>
          <w:b/>
          <w:bCs/>
          <w:spacing w:val="6"/>
          <w:u w:val="single"/>
        </w:rPr>
        <w:t>Devoir de DGEMC</w:t>
      </w:r>
    </w:p>
    <w:p>
      <w:pPr>
        <w:pStyle w:val="Default"/>
        <w:jc w:val="center"/>
        <w:rPr>
          <w:b/>
          <w:b/>
          <w:bCs/>
          <w:spacing w:val="6"/>
          <w:u w:val="single"/>
        </w:rPr>
      </w:pPr>
      <w:r>
        <w:rPr>
          <w:b/>
          <w:bCs/>
          <w:spacing w:val="6"/>
          <w:u w:val="single"/>
        </w:rPr>
        <w:t>Partie 1 Comment le droit est-il organisé ?</w:t>
      </w:r>
    </w:p>
    <w:p>
      <w:pPr>
        <w:pStyle w:val="Default"/>
        <w:jc w:val="center"/>
        <w:rPr>
          <w:b/>
          <w:b/>
          <w:bCs/>
          <w:spacing w:val="6"/>
          <w:u w:val="single"/>
        </w:rPr>
      </w:pPr>
      <w:r>
        <w:rPr>
          <w:b/>
          <w:bCs/>
          <w:spacing w:val="6"/>
          <w:u w:val="single"/>
        </w:rPr>
        <w:t>1.1 Sources du droit</w:t>
      </w:r>
    </w:p>
    <w:p>
      <w:pPr>
        <w:pStyle w:val="Default"/>
        <w:jc w:val="center"/>
        <w:rPr>
          <w:b/>
          <w:b/>
          <w:bCs/>
          <w:spacing w:val="6"/>
          <w:u w:val="single"/>
        </w:rPr>
      </w:pPr>
      <w:r>
        <w:rPr>
          <w:b/>
          <w:bCs/>
          <w:spacing w:val="6"/>
          <w:u w:val="single"/>
        </w:rPr>
        <w:t>1.1.1 La Constitution</w:t>
      </w:r>
    </w:p>
    <w:p>
      <w:pPr>
        <w:pStyle w:val="Default"/>
        <w:jc w:val="center"/>
        <w:rPr>
          <w:b/>
          <w:b/>
          <w:bCs/>
          <w:spacing w:val="6"/>
        </w:rPr>
      </w:pPr>
      <w:r>
        <w:rPr>
          <w:b/>
          <w:bCs/>
          <w:spacing w:val="6"/>
        </w:rPr>
      </w:r>
    </w:p>
    <w:p>
      <w:pPr>
        <w:pStyle w:val="Default"/>
        <w:jc w:val="center"/>
        <w:rPr>
          <w:b/>
          <w:b/>
          <w:bCs/>
          <w:spacing w:val="6"/>
        </w:rPr>
      </w:pPr>
      <w:r>
        <w:rPr>
          <w:b/>
          <w:bCs/>
          <w:spacing w:val="6"/>
        </w:rPr>
      </w:r>
    </w:p>
    <w:p>
      <w:pPr>
        <w:pStyle w:val="Default"/>
        <w:jc w:val="center"/>
        <w:rPr>
          <w:b/>
          <w:b/>
          <w:bCs/>
          <w:spacing w:val="6"/>
        </w:rPr>
      </w:pPr>
      <w:r>
        <w:rPr>
          <w:b/>
          <w:bCs/>
          <w:spacing w:val="6"/>
        </w:rPr>
        <w:t>Pour chacun de ces trois pays, présentez comment les trois pouvoirs sont organisés et s’il existe des relations entre eux.</w:t>
      </w:r>
    </w:p>
    <w:p>
      <w:pPr>
        <w:pStyle w:val="Default"/>
        <w:jc w:val="center"/>
        <w:rPr>
          <w:b/>
          <w:b/>
          <w:bCs/>
          <w:spacing w:val="6"/>
        </w:rPr>
      </w:pPr>
      <w:r>
        <w:rPr>
          <w:b/>
          <w:bCs/>
          <w:spacing w:val="6"/>
        </w:rPr>
        <w:t>Vous pouvez appuyer votre réponse par un/des schémas.</w:t>
      </w:r>
    </w:p>
    <w:p>
      <w:pPr>
        <w:pStyle w:val="Default"/>
        <w:jc w:val="center"/>
        <w:rPr>
          <w:b/>
          <w:b/>
          <w:bCs/>
          <w:spacing w:val="6"/>
        </w:rPr>
      </w:pPr>
      <w:r>
        <w:rPr>
          <w:b/>
          <w:bCs/>
          <w:spacing w:val="6"/>
        </w:rPr>
      </w:r>
    </w:p>
    <w:p>
      <w:pPr>
        <w:pStyle w:val="Default"/>
        <w:jc w:val="center"/>
        <w:rPr>
          <w:b/>
          <w:b/>
          <w:bCs/>
          <w:spacing w:val="6"/>
        </w:rPr>
      </w:pPr>
      <w:r>
        <w:rPr>
          <w:b/>
          <w:bCs/>
          <w:spacing w:val="6"/>
        </w:rPr>
      </w:r>
    </w:p>
    <w:p>
      <w:pPr>
        <w:pStyle w:val="Default"/>
        <w:jc w:val="center"/>
        <w:rPr>
          <w:b/>
          <w:b/>
          <w:bCs/>
          <w:spacing w:val="6"/>
          <w:u w:val="single"/>
        </w:rPr>
      </w:pPr>
      <w:r>
        <w:rPr>
          <w:b/>
          <w:bCs/>
          <w:spacing w:val="6"/>
          <w:u w:val="single"/>
        </w:rPr>
        <w:t>France</w:t>
      </w:r>
    </w:p>
    <w:p>
      <w:pPr>
        <w:pStyle w:val="Default"/>
        <w:rPr/>
      </w:pPr>
      <w:r>
        <w:rPr/>
      </w:r>
    </w:p>
    <w:p>
      <w:pPr>
        <w:pStyle w:val="Titre3"/>
        <w:numPr>
          <w:ilvl w:val="2"/>
          <w:numId w:val="1"/>
        </w:numPr>
        <w:tabs>
          <w:tab w:val="left" w:pos="0" w:leader="none"/>
        </w:tabs>
        <w:spacing w:before="0" w:after="0"/>
        <w:ind w:left="0" w:hanging="0"/>
        <w:rPr/>
      </w:pPr>
      <w:bookmarkStart w:id="0" w:name="article_6"/>
      <w:bookmarkEnd w:id="0"/>
      <w:r>
        <w:rPr>
          <w:rStyle w:val="Policepardfaut"/>
          <w:rFonts w:ascii="Times New Roman" w:hAnsi="Times New Roman"/>
          <w:color w:val="302E2D"/>
          <w:sz w:val="24"/>
          <w:szCs w:val="24"/>
          <w:u w:val="single"/>
        </w:rPr>
        <w:t>Article 6</w:t>
      </w:r>
    </w:p>
    <w:p>
      <w:pPr>
        <w:pStyle w:val="Titre3"/>
        <w:numPr>
          <w:ilvl w:val="2"/>
          <w:numId w:val="1"/>
        </w:numPr>
        <w:tabs>
          <w:tab w:val="left" w:pos="0" w:leader="none"/>
        </w:tabs>
        <w:spacing w:before="0" w:after="0"/>
        <w:ind w:left="0" w:hanging="0"/>
        <w:rPr/>
      </w:pPr>
      <w:r>
        <w:rPr>
          <w:rStyle w:val="Policepardfaut"/>
          <w:rFonts w:ascii="Times New Roman" w:hAnsi="Times New Roman"/>
          <w:b w:val="false"/>
          <w:color w:val="000000"/>
          <w:sz w:val="24"/>
          <w:szCs w:val="24"/>
        </w:rPr>
        <w:t>Le Président de la République est élu pour cinq ans au suffrage universel direct.</w:t>
      </w:r>
    </w:p>
    <w:p>
      <w:pPr>
        <w:pStyle w:val="Normal"/>
        <w:widowControl w:val="false"/>
        <w:jc w:val="both"/>
        <w:rPr>
          <w:rFonts w:ascii="Times New Roman" w:hAnsi="Times New Roman"/>
          <w:b/>
          <w:b/>
          <w:bCs/>
          <w:spacing w:val="6"/>
          <w:u w:val="single"/>
        </w:rPr>
      </w:pPr>
      <w:r>
        <w:rPr>
          <w:rFonts w:ascii="Times New Roman" w:hAnsi="Times New Roman"/>
          <w:b/>
          <w:bCs/>
          <w:spacing w:val="6"/>
          <w:u w:val="single"/>
        </w:rPr>
        <w:t>Article 8</w:t>
      </w:r>
    </w:p>
    <w:p>
      <w:pPr>
        <w:pStyle w:val="Normal"/>
        <w:widowControl w:val="false"/>
        <w:jc w:val="both"/>
        <w:rPr>
          <w:rFonts w:ascii="Times New Roman" w:hAnsi="Times New Roman"/>
          <w:spacing w:val="6"/>
        </w:rPr>
      </w:pPr>
      <w:r>
        <w:rPr>
          <w:rFonts w:ascii="Times New Roman" w:hAnsi="Times New Roman"/>
          <w:spacing w:val="6"/>
        </w:rPr>
        <w:t>Le Président de la République nomme le Premier ministre. Il met fin à ses fonctions sur la présentation par celui-ci de la démission du Gouvernement.</w:t>
      </w:r>
    </w:p>
    <w:p>
      <w:pPr>
        <w:pStyle w:val="Normal"/>
        <w:widowControl w:val="false"/>
        <w:jc w:val="both"/>
        <w:rPr>
          <w:rFonts w:ascii="Times New Roman" w:hAnsi="Times New Roman"/>
          <w:spacing w:val="6"/>
        </w:rPr>
      </w:pPr>
      <w:r>
        <w:rPr>
          <w:rFonts w:ascii="Times New Roman" w:hAnsi="Times New Roman"/>
          <w:spacing w:val="6"/>
        </w:rPr>
        <w:t>Sur la proposition du Premier ministre, il nomme les autres membres du Gouvernement et met fin à leurs fonctions.</w:t>
      </w:r>
    </w:p>
    <w:p>
      <w:pPr>
        <w:pStyle w:val="Normal"/>
        <w:widowControl w:val="false"/>
        <w:jc w:val="both"/>
        <w:rPr>
          <w:rFonts w:ascii="Times New Roman" w:hAnsi="Times New Roman"/>
          <w:b/>
          <w:b/>
          <w:bCs/>
          <w:spacing w:val="6"/>
          <w:u w:val="single"/>
        </w:rPr>
      </w:pPr>
      <w:r>
        <w:rPr>
          <w:rFonts w:ascii="Times New Roman" w:hAnsi="Times New Roman"/>
          <w:b/>
          <w:bCs/>
          <w:spacing w:val="6"/>
          <w:u w:val="single"/>
        </w:rPr>
        <w:t>Article 12</w:t>
      </w:r>
    </w:p>
    <w:p>
      <w:pPr>
        <w:pStyle w:val="Normal"/>
        <w:widowControl w:val="false"/>
        <w:jc w:val="both"/>
        <w:rPr>
          <w:rFonts w:ascii="Times New Roman" w:hAnsi="Times New Roman"/>
          <w:spacing w:val="6"/>
        </w:rPr>
      </w:pPr>
      <w:r>
        <w:rPr>
          <w:rFonts w:ascii="Times New Roman" w:hAnsi="Times New Roman"/>
          <w:spacing w:val="6"/>
        </w:rPr>
        <w:t>Le Président de la République peut, après consultation du Premier ministre et des Présidents des assemblées, prononcer la dissolution de l'Assemblée nationale.</w:t>
      </w:r>
    </w:p>
    <w:p>
      <w:pPr>
        <w:pStyle w:val="Normal"/>
        <w:widowControl w:val="false"/>
        <w:jc w:val="both"/>
        <w:rPr>
          <w:rFonts w:ascii="Times New Roman" w:hAnsi="Times New Roman"/>
          <w:spacing w:val="6"/>
        </w:rPr>
      </w:pPr>
      <w:r>
        <w:rPr>
          <w:rFonts w:ascii="Times New Roman" w:hAnsi="Times New Roman"/>
          <w:spacing w:val="6"/>
        </w:rPr>
        <w:t>Les élections générales ont lieu vingt jours au moins et quarante jours au plus après la dissolution.</w:t>
      </w:r>
    </w:p>
    <w:p>
      <w:pPr>
        <w:pStyle w:val="Normal"/>
        <w:widowControl w:val="false"/>
        <w:jc w:val="both"/>
        <w:rPr>
          <w:rFonts w:ascii="Times New Roman" w:hAnsi="Times New Roman"/>
          <w:spacing w:val="6"/>
        </w:rPr>
      </w:pPr>
      <w:r>
        <w:rPr>
          <w:rFonts w:ascii="Times New Roman" w:hAnsi="Times New Roman"/>
          <w:spacing w:val="6"/>
        </w:rPr>
        <w:t>(...) II ne peut être procédé à une nouvelle dissolution dans l'année qui suit ces élections.</w:t>
      </w:r>
    </w:p>
    <w:p>
      <w:pPr>
        <w:pStyle w:val="Normal"/>
        <w:widowControl w:val="false"/>
        <w:jc w:val="both"/>
        <w:rPr>
          <w:rFonts w:ascii="Times New Roman" w:hAnsi="Times New Roman"/>
          <w:b/>
          <w:b/>
          <w:bCs/>
          <w:spacing w:val="6"/>
          <w:u w:val="single"/>
        </w:rPr>
      </w:pPr>
      <w:r>
        <w:rPr>
          <w:rFonts w:ascii="Times New Roman" w:hAnsi="Times New Roman"/>
          <w:b/>
          <w:bCs/>
          <w:spacing w:val="6"/>
          <w:u w:val="single"/>
        </w:rPr>
        <w:t>Article18</w:t>
      </w:r>
    </w:p>
    <w:p>
      <w:pPr>
        <w:pStyle w:val="Normal"/>
        <w:widowControl w:val="false"/>
        <w:jc w:val="both"/>
        <w:rPr>
          <w:rFonts w:ascii="Times New Roman" w:hAnsi="Times New Roman"/>
          <w:spacing w:val="6"/>
        </w:rPr>
      </w:pPr>
      <w:r>
        <w:rPr>
          <w:rFonts w:ascii="Times New Roman" w:hAnsi="Times New Roman"/>
          <w:spacing w:val="6"/>
        </w:rPr>
        <w:t>Le Président de la République communique avec les deux assemblées du Parlement par des messages qu'il fait lire et qui ne donnent lieu à aucun débat. (...)</w:t>
      </w:r>
    </w:p>
    <w:p>
      <w:pPr>
        <w:pStyle w:val="Normal"/>
        <w:widowControl w:val="false"/>
        <w:jc w:val="both"/>
        <w:rPr>
          <w:rFonts w:ascii="Times New Roman" w:hAnsi="Times New Roman"/>
          <w:b/>
          <w:b/>
          <w:bCs/>
          <w:spacing w:val="6"/>
          <w:u w:val="single"/>
        </w:rPr>
      </w:pPr>
      <w:r>
        <w:rPr>
          <w:rFonts w:ascii="Times New Roman" w:hAnsi="Times New Roman"/>
          <w:b/>
          <w:bCs/>
          <w:spacing w:val="6"/>
          <w:u w:val="single"/>
        </w:rPr>
        <w:t>Article 20</w:t>
      </w:r>
    </w:p>
    <w:p>
      <w:pPr>
        <w:pStyle w:val="Normal"/>
        <w:widowControl w:val="false"/>
        <w:jc w:val="both"/>
        <w:rPr>
          <w:rFonts w:ascii="Times New Roman" w:hAnsi="Times New Roman"/>
          <w:spacing w:val="6"/>
        </w:rPr>
      </w:pPr>
      <w:r>
        <w:rPr>
          <w:rFonts w:ascii="Times New Roman" w:hAnsi="Times New Roman"/>
          <w:spacing w:val="6"/>
        </w:rPr>
        <w:t>Le Gouvernement détermine et conduit la politique de la Nation.</w:t>
      </w:r>
    </w:p>
    <w:p>
      <w:pPr>
        <w:pStyle w:val="Normal"/>
        <w:widowControl w:val="false"/>
        <w:jc w:val="both"/>
        <w:rPr/>
      </w:pPr>
      <w:r>
        <w:rPr>
          <w:rStyle w:val="Policepardfaut"/>
          <w:rFonts w:ascii="Times New Roman" w:hAnsi="Times New Roman"/>
          <w:spacing w:val="6"/>
        </w:rPr>
        <w:t xml:space="preserve">Il dispose de l'administration et de </w:t>
      </w:r>
      <w:r>
        <w:rPr>
          <w:rStyle w:val="Policepardfaut"/>
          <w:rFonts w:ascii="Times New Roman" w:hAnsi="Times New Roman"/>
          <w:b w:val="false"/>
          <w:bCs w:val="false"/>
          <w:spacing w:val="6"/>
        </w:rPr>
        <w:t>la</w:t>
      </w:r>
      <w:r>
        <w:rPr>
          <w:rStyle w:val="Policepardfaut"/>
          <w:rFonts w:ascii="Times New Roman" w:hAnsi="Times New Roman"/>
          <w:b/>
          <w:bCs/>
          <w:spacing w:val="6"/>
        </w:rPr>
        <w:t xml:space="preserve"> </w:t>
      </w:r>
      <w:r>
        <w:rPr>
          <w:rStyle w:val="Policepardfaut"/>
          <w:rFonts w:ascii="Times New Roman" w:hAnsi="Times New Roman"/>
          <w:spacing w:val="6"/>
        </w:rPr>
        <w:t>force armée.</w:t>
      </w:r>
    </w:p>
    <w:p>
      <w:pPr>
        <w:pStyle w:val="Normal"/>
        <w:widowControl w:val="false"/>
        <w:jc w:val="both"/>
        <w:rPr>
          <w:rFonts w:ascii="Times New Roman" w:hAnsi="Times New Roman"/>
          <w:spacing w:val="6"/>
        </w:rPr>
      </w:pPr>
      <w:r>
        <w:rPr>
          <w:rFonts w:ascii="Times New Roman" w:hAnsi="Times New Roman"/>
          <w:spacing w:val="6"/>
        </w:rPr>
        <w:t>Il est responsable devant le Parlement dans les conditions et suivant les procédures prévues aux articles 49 et 50.</w:t>
      </w:r>
    </w:p>
    <w:p>
      <w:pPr>
        <w:pStyle w:val="Normal"/>
        <w:widowControl w:val="false"/>
        <w:jc w:val="both"/>
        <w:rPr>
          <w:rFonts w:ascii="Times New Roman" w:hAnsi="Times New Roman"/>
          <w:b/>
          <w:b/>
          <w:bCs/>
          <w:spacing w:val="6"/>
          <w:u w:val="single"/>
        </w:rPr>
      </w:pPr>
      <w:r>
        <w:rPr>
          <w:rFonts w:ascii="Times New Roman" w:hAnsi="Times New Roman"/>
          <w:b/>
          <w:bCs/>
          <w:spacing w:val="6"/>
          <w:u w:val="single"/>
        </w:rPr>
        <w:t>Article 39</w:t>
      </w:r>
    </w:p>
    <w:p>
      <w:pPr>
        <w:pStyle w:val="Normal"/>
        <w:widowControl w:val="false"/>
        <w:jc w:val="both"/>
        <w:rPr/>
      </w:pPr>
      <w:r>
        <w:rPr>
          <w:rStyle w:val="Policepardfaut"/>
          <w:rFonts w:ascii="Times New Roman" w:hAnsi="Times New Roman"/>
          <w:spacing w:val="6"/>
        </w:rPr>
        <w:t>L'initiative des lois appartient concurremment</w:t>
      </w:r>
      <w:r>
        <w:rPr>
          <w:rStyle w:val="Policepardfaut"/>
          <w:rFonts w:ascii="Times New Roman" w:hAnsi="Times New Roman"/>
          <w:spacing w:val="6"/>
          <w:position w:val="24"/>
          <w:sz w:val="16"/>
        </w:rPr>
        <w:t>(1)</w:t>
      </w:r>
      <w:r>
        <w:rPr>
          <w:rStyle w:val="Policepardfaut"/>
          <w:rFonts w:ascii="Times New Roman" w:hAnsi="Times New Roman"/>
          <w:spacing w:val="6"/>
        </w:rPr>
        <w:t xml:space="preserve"> au Premier ministre et aux membres du Parlement (...).</w:t>
      </w:r>
    </w:p>
    <w:p>
      <w:pPr>
        <w:pStyle w:val="Normal"/>
        <w:widowControl w:val="false"/>
        <w:ind w:left="0" w:right="72" w:hanging="0"/>
        <w:jc w:val="both"/>
        <w:rPr>
          <w:rFonts w:ascii="Times New Roman" w:hAnsi="Times New Roman"/>
          <w:b/>
          <w:b/>
          <w:bCs/>
          <w:spacing w:val="4"/>
          <w:u w:val="single"/>
        </w:rPr>
      </w:pPr>
      <w:r>
        <w:rPr>
          <w:rFonts w:ascii="Times New Roman" w:hAnsi="Times New Roman"/>
          <w:b/>
          <w:bCs/>
          <w:spacing w:val="4"/>
          <w:u w:val="single"/>
        </w:rPr>
        <w:t>Article 45</w:t>
      </w:r>
    </w:p>
    <w:p>
      <w:pPr>
        <w:pStyle w:val="Normal"/>
        <w:widowControl w:val="false"/>
        <w:ind w:left="0" w:right="72" w:hanging="0"/>
        <w:jc w:val="both"/>
        <w:rPr>
          <w:rFonts w:ascii="Times New Roman" w:hAnsi="Times New Roman"/>
          <w:spacing w:val="4"/>
        </w:rPr>
      </w:pPr>
      <w:r>
        <w:rPr>
          <w:rFonts w:ascii="Times New Roman" w:hAnsi="Times New Roman"/>
          <w:spacing w:val="4"/>
        </w:rPr>
        <w:t>Tout projet ou proposition de loi est examiné successivement dans les deux assemblées du Parlement en vue de l'adoption d'un texte identique.</w:t>
      </w:r>
    </w:p>
    <w:p>
      <w:pPr>
        <w:pStyle w:val="Normal"/>
        <w:widowControl w:val="false"/>
        <w:ind w:left="0" w:right="72" w:hanging="0"/>
        <w:jc w:val="both"/>
        <w:rPr/>
      </w:pPr>
      <w:r>
        <w:rPr>
          <w:rStyle w:val="Policepardfaut"/>
          <w:rFonts w:ascii="Times New Roman" w:hAnsi="Times New Roman"/>
          <w:spacing w:val="4"/>
        </w:rPr>
        <w:t>(...) Lorsque, par suite d'un désaccord entre les deux assemblées, un projet ou une proposition de loi n'a pu être adopté après deux lectures par chaque assemblée (...), le Premier ministre ou les présidents des deux assemblées agissant conjointement, ont la faculté de provoquer la réunion d'une commission mixte paritaire</w:t>
      </w:r>
      <w:r>
        <w:rPr>
          <w:rStyle w:val="Policepardfaut"/>
          <w:rFonts w:ascii="Times New Roman" w:hAnsi="Times New Roman"/>
          <w:spacing w:val="4"/>
          <w:position w:val="24"/>
          <w:sz w:val="16"/>
        </w:rPr>
        <w:t>(2)</w:t>
      </w:r>
      <w:r>
        <w:rPr>
          <w:rStyle w:val="Policepardfaut"/>
          <w:rFonts w:ascii="Times New Roman" w:hAnsi="Times New Roman"/>
          <w:spacing w:val="4"/>
        </w:rPr>
        <w:t xml:space="preserve"> chargée de proposer un texte sur les dispositions restant en discussion (...).</w:t>
      </w:r>
    </w:p>
    <w:p>
      <w:pPr>
        <w:pStyle w:val="Normal"/>
        <w:widowControl w:val="false"/>
        <w:ind w:left="0" w:right="72" w:hanging="0"/>
        <w:jc w:val="both"/>
        <w:rPr>
          <w:rFonts w:ascii="Times New Roman" w:hAnsi="Times New Roman"/>
          <w:b/>
          <w:b/>
          <w:bCs/>
          <w:spacing w:val="4"/>
          <w:u w:val="single"/>
        </w:rPr>
      </w:pPr>
      <w:r>
        <w:rPr>
          <w:rFonts w:ascii="Times New Roman" w:hAnsi="Times New Roman"/>
          <w:b/>
          <w:bCs/>
          <w:spacing w:val="4"/>
          <w:u w:val="single"/>
        </w:rPr>
        <w:t>Article 49</w:t>
      </w:r>
    </w:p>
    <w:p>
      <w:pPr>
        <w:pStyle w:val="Normal"/>
        <w:widowControl w:val="false"/>
        <w:ind w:left="0" w:right="72" w:hanging="0"/>
        <w:jc w:val="both"/>
        <w:rPr>
          <w:rFonts w:ascii="Times New Roman" w:hAnsi="Times New Roman"/>
          <w:spacing w:val="4"/>
        </w:rPr>
      </w:pPr>
      <w:r>
        <w:rPr>
          <w:rFonts w:ascii="Times New Roman" w:hAnsi="Times New Roman"/>
          <w:spacing w:val="4"/>
        </w:rPr>
        <w:t>Le Premier ministre, après délibération du Conseil des ministres, engage devant l'Assemblée nationale la responsabilité du Gouvernement sur son programme ou éventuellement sur une déclaration de politique générale.</w:t>
      </w:r>
    </w:p>
    <w:p>
      <w:pPr>
        <w:pStyle w:val="Normal"/>
        <w:widowControl w:val="false"/>
        <w:ind w:left="0" w:right="72" w:hanging="0"/>
        <w:jc w:val="both"/>
        <w:rPr/>
      </w:pPr>
      <w:r>
        <w:rPr>
          <w:rStyle w:val="Policepardfaut"/>
          <w:rFonts w:ascii="Times New Roman" w:hAnsi="Times New Roman"/>
          <w:spacing w:val="4"/>
        </w:rPr>
        <w:t xml:space="preserve">L'Assemblée nationale met en cause la responsabilité du Gouvernement par le vote d'une motion de </w:t>
      </w:r>
      <w:r>
        <w:rPr>
          <w:rStyle w:val="Policepardfaut"/>
          <w:rFonts w:ascii="Times New Roman" w:hAnsi="Times New Roman"/>
          <w:bCs/>
          <w:spacing w:val="4"/>
        </w:rPr>
        <w:t>censure</w:t>
      </w:r>
      <w:r>
        <w:rPr>
          <w:rStyle w:val="Policepardfaut"/>
          <w:rFonts w:ascii="Times New Roman" w:hAnsi="Times New Roman"/>
          <w:bCs/>
          <w:spacing w:val="4"/>
          <w:position w:val="24"/>
          <w:sz w:val="16"/>
        </w:rPr>
        <w:t>(3)</w:t>
      </w:r>
      <w:r>
        <w:rPr>
          <w:rStyle w:val="Policepardfaut"/>
          <w:rFonts w:ascii="Times New Roman" w:hAnsi="Times New Roman"/>
          <w:bCs/>
          <w:spacing w:val="4"/>
        </w:rPr>
        <w:t>.</w:t>
      </w:r>
      <w:r>
        <w:rPr>
          <w:rStyle w:val="Policepardfaut"/>
          <w:rFonts w:ascii="Times New Roman" w:hAnsi="Times New Roman"/>
          <w:b/>
          <w:bCs/>
          <w:spacing w:val="4"/>
        </w:rPr>
        <w:t xml:space="preserve"> </w:t>
      </w:r>
      <w:r>
        <w:rPr>
          <w:rStyle w:val="Policepardfaut"/>
          <w:rFonts w:ascii="Times New Roman" w:hAnsi="Times New Roman"/>
          <w:spacing w:val="4"/>
        </w:rPr>
        <w:t>Une telle motion n'est recevable que si elle est signée par un dixième au moins des membres de l'Assemblée nationale (...).</w:t>
      </w:r>
    </w:p>
    <w:p>
      <w:pPr>
        <w:pStyle w:val="Normal"/>
        <w:widowControl w:val="false"/>
        <w:ind w:left="0" w:right="72" w:hanging="0"/>
        <w:jc w:val="both"/>
        <w:rPr>
          <w:rFonts w:ascii="Times New Roman" w:hAnsi="Times New Roman"/>
          <w:b/>
          <w:b/>
          <w:bCs/>
          <w:spacing w:val="4"/>
          <w:u w:val="single"/>
        </w:rPr>
      </w:pPr>
      <w:r>
        <w:rPr>
          <w:rFonts w:ascii="Times New Roman" w:hAnsi="Times New Roman"/>
          <w:b/>
          <w:bCs/>
          <w:spacing w:val="4"/>
          <w:u w:val="single"/>
        </w:rPr>
        <w:t>Article 50</w:t>
      </w:r>
    </w:p>
    <w:p>
      <w:pPr>
        <w:pStyle w:val="Normal"/>
        <w:widowControl w:val="false"/>
        <w:ind w:left="0" w:right="72" w:hanging="0"/>
        <w:jc w:val="both"/>
        <w:rPr>
          <w:rFonts w:ascii="Times New Roman" w:hAnsi="Times New Roman"/>
          <w:spacing w:val="4"/>
        </w:rPr>
      </w:pPr>
      <w:r>
        <w:rPr>
          <w:rFonts w:ascii="Times New Roman" w:hAnsi="Times New Roman"/>
          <w:spacing w:val="4"/>
        </w:rPr>
        <w:t>Lorsque l'Assemblée nationale adopte une motion de censure ou lorsqu'elle désapprouve le programme ou une déclaration de politique générale du Gouvernement, le Premier ministre doit remettre au Président de la République la démission du Gouvernement.</w:t>
      </w:r>
    </w:p>
    <w:p>
      <w:pPr>
        <w:pStyle w:val="Normal"/>
        <w:widowControl w:val="false"/>
        <w:ind w:left="0" w:right="72" w:hanging="0"/>
        <w:jc w:val="both"/>
        <w:rPr>
          <w:rFonts w:ascii="Times New Roman" w:hAnsi="Times New Roman"/>
        </w:rPr>
      </w:pPr>
      <w:r>
        <w:rPr>
          <w:rFonts w:ascii="Times New Roman" w:hAnsi="Times New Roman"/>
        </w:rPr>
      </w:r>
    </w:p>
    <w:p>
      <w:pPr>
        <w:pStyle w:val="Normal"/>
        <w:widowControl w:val="false"/>
        <w:ind w:left="0" w:right="72" w:hanging="0"/>
        <w:jc w:val="right"/>
        <w:rPr>
          <w:rFonts w:ascii="Times New Roman" w:hAnsi="Times New Roman"/>
        </w:rPr>
      </w:pPr>
      <w:r>
        <w:rPr>
          <w:rFonts w:ascii="Times New Roman" w:hAnsi="Times New Roman"/>
        </w:rPr>
        <w:t>Source : Constitution française 1958.</w:t>
      </w:r>
    </w:p>
    <w:p>
      <w:pPr>
        <w:pStyle w:val="Normal"/>
        <w:widowControl w:val="false"/>
        <w:ind w:left="0" w:right="72" w:hanging="0"/>
        <w:jc w:val="right"/>
        <w:rPr>
          <w:rFonts w:ascii="Times New Roman" w:hAnsi="Times New Roman"/>
          <w:spacing w:val="4"/>
          <w:sz w:val="20"/>
          <w:szCs w:val="20"/>
        </w:rPr>
      </w:pPr>
      <w:r>
        <w:rPr>
          <w:rFonts w:ascii="Times New Roman" w:hAnsi="Times New Roman"/>
          <w:spacing w:val="4"/>
          <w:sz w:val="20"/>
          <w:szCs w:val="20"/>
        </w:rPr>
      </w:r>
    </w:p>
    <w:p>
      <w:pPr>
        <w:pStyle w:val="Normal"/>
        <w:widowControl w:val="false"/>
        <w:numPr>
          <w:ilvl w:val="0"/>
          <w:numId w:val="5"/>
        </w:numPr>
        <w:tabs>
          <w:tab w:val="left" w:pos="216" w:leader="none"/>
        </w:tabs>
        <w:jc w:val="both"/>
        <w:rPr>
          <w:rFonts w:ascii="Times New Roman" w:hAnsi="Times New Roman"/>
          <w:spacing w:val="4"/>
          <w:sz w:val="20"/>
          <w:szCs w:val="20"/>
        </w:rPr>
      </w:pPr>
      <w:r>
        <w:rPr>
          <w:rFonts w:ascii="Times New Roman" w:hAnsi="Times New Roman"/>
          <w:spacing w:val="4"/>
          <w:sz w:val="20"/>
          <w:szCs w:val="20"/>
        </w:rPr>
        <w:t>Concurremment : ici, conjointement.</w:t>
      </w:r>
    </w:p>
    <w:p>
      <w:pPr>
        <w:pStyle w:val="Normal"/>
        <w:widowControl w:val="false"/>
        <w:numPr>
          <w:ilvl w:val="0"/>
          <w:numId w:val="5"/>
        </w:numPr>
        <w:tabs>
          <w:tab w:val="left" w:pos="216" w:leader="none"/>
        </w:tabs>
        <w:jc w:val="both"/>
        <w:rPr/>
      </w:pPr>
      <w:r>
        <w:rPr>
          <w:rStyle w:val="Policepardfaut"/>
          <w:rFonts w:ascii="Times New Roman" w:hAnsi="Times New Roman"/>
          <w:sz w:val="20"/>
          <w:szCs w:val="20"/>
        </w:rPr>
        <w:t>Commission mixte paritaire : commission composée de sept députés et de sept sénateurs</w:t>
      </w:r>
      <w:r>
        <w:rPr>
          <w:rStyle w:val="Policepardfaut"/>
          <w:rFonts w:ascii="Times New Roman" w:hAnsi="Times New Roman"/>
          <w:spacing w:val="4"/>
          <w:sz w:val="20"/>
          <w:szCs w:val="20"/>
        </w:rPr>
        <w:t xml:space="preserve"> </w:t>
      </w:r>
      <w:r>
        <w:rPr>
          <w:rStyle w:val="Policepardfaut"/>
          <w:rFonts w:ascii="Times New Roman" w:hAnsi="Times New Roman"/>
          <w:spacing w:val="-3"/>
          <w:sz w:val="20"/>
          <w:szCs w:val="20"/>
        </w:rPr>
        <w:t>réunis en cas de désaccord persistant entre les assemblées sur un projet ou une proposition</w:t>
      </w:r>
      <w:r>
        <w:rPr>
          <w:rStyle w:val="Policepardfaut"/>
          <w:rFonts w:ascii="Times New Roman" w:hAnsi="Times New Roman"/>
          <w:spacing w:val="4"/>
          <w:sz w:val="20"/>
          <w:szCs w:val="20"/>
        </w:rPr>
        <w:t xml:space="preserve"> </w:t>
      </w:r>
      <w:r>
        <w:rPr>
          <w:rStyle w:val="Policepardfaut"/>
          <w:rFonts w:ascii="Times New Roman" w:hAnsi="Times New Roman"/>
          <w:spacing w:val="2"/>
          <w:sz w:val="20"/>
          <w:szCs w:val="20"/>
        </w:rPr>
        <w:t>de loi et devant permettre d'aboutir à la conciliation des deux assemblées sur un texte</w:t>
      </w:r>
      <w:r>
        <w:rPr>
          <w:rStyle w:val="Policepardfaut"/>
          <w:rFonts w:ascii="Times New Roman" w:hAnsi="Times New Roman"/>
          <w:spacing w:val="4"/>
          <w:sz w:val="20"/>
          <w:szCs w:val="20"/>
        </w:rPr>
        <w:t xml:space="preserve"> commun.</w:t>
      </w:r>
    </w:p>
    <w:p>
      <w:pPr>
        <w:pStyle w:val="Paragraphedeliste"/>
        <w:widowControl w:val="false"/>
        <w:numPr>
          <w:ilvl w:val="0"/>
          <w:numId w:val="5"/>
        </w:numPr>
        <w:tabs>
          <w:tab w:val="left" w:pos="936" w:leader="none"/>
        </w:tabs>
        <w:jc w:val="both"/>
        <w:rPr/>
      </w:pPr>
      <w:r>
        <w:rPr>
          <w:rStyle w:val="Policepardfaut"/>
          <w:rFonts w:ascii="Times New Roman" w:hAnsi="Times New Roman"/>
          <w:sz w:val="20"/>
          <w:szCs w:val="20"/>
        </w:rPr>
        <w:t>Motion de censure : procédure par laquelle l'Assemblée nationale exprime sa défiance</w:t>
      </w:r>
      <w:r>
        <w:rPr>
          <w:rStyle w:val="Policepardfaut"/>
          <w:rFonts w:ascii="Times New Roman" w:hAnsi="Times New Roman"/>
          <w:spacing w:val="4"/>
          <w:sz w:val="20"/>
          <w:szCs w:val="20"/>
        </w:rPr>
        <w:t xml:space="preserve"> envers le Gouvernement et peut le contraindre à se retirer.</w:t>
      </w:r>
    </w:p>
    <w:p>
      <w:pPr>
        <w:pStyle w:val="Normal"/>
        <w:widowControl w:val="false"/>
        <w:jc w:val="both"/>
        <w:rPr>
          <w:rFonts w:ascii="Times New Roman" w:hAnsi="Times New Roman"/>
          <w:spacing w:val="6"/>
        </w:rPr>
      </w:pPr>
      <w:r>
        <w:rPr>
          <w:rFonts w:ascii="Times New Roman" w:hAnsi="Times New Roman"/>
          <w:spacing w:val="6"/>
        </w:rPr>
      </w:r>
    </w:p>
    <w:p>
      <w:pPr>
        <w:pStyle w:val="Normal"/>
        <w:widowControl w:val="false"/>
        <w:jc w:val="both"/>
        <w:rPr>
          <w:rFonts w:ascii="Times New Roman" w:hAnsi="Times New Roman"/>
          <w:spacing w:val="6"/>
        </w:rPr>
      </w:pPr>
      <w:r>
        <w:rPr>
          <w:rFonts w:ascii="Times New Roman" w:hAnsi="Times New Roman"/>
          <w:spacing w:val="6"/>
        </w:rPr>
      </w:r>
    </w:p>
    <w:p>
      <w:pPr>
        <w:pStyle w:val="Normal"/>
        <w:widowControl w:val="false"/>
        <w:jc w:val="both"/>
        <w:rPr>
          <w:rFonts w:ascii="Times New Roman" w:hAnsi="Times New Roman"/>
          <w:spacing w:val="6"/>
        </w:rPr>
      </w:pPr>
      <w:r>
        <w:rPr>
          <w:rFonts w:ascii="Times New Roman" w:hAnsi="Times New Roman"/>
          <w:spacing w:val="6"/>
        </w:rPr>
      </w:r>
    </w:p>
    <w:p>
      <w:pPr>
        <w:pStyle w:val="Normal"/>
        <w:widowControl w:val="false"/>
        <w:jc w:val="both"/>
        <w:rPr>
          <w:rFonts w:ascii="Times New Roman" w:hAnsi="Times New Roman"/>
          <w:spacing w:val="6"/>
        </w:rPr>
      </w:pPr>
      <w:r>
        <w:rPr>
          <w:rFonts w:ascii="Times New Roman" w:hAnsi="Times New Roman"/>
          <w:spacing w:val="6"/>
        </w:rPr>
      </w:r>
    </w:p>
    <w:p>
      <w:pPr>
        <w:pStyle w:val="Normal"/>
        <w:widowControl w:val="false"/>
        <w:jc w:val="both"/>
        <w:rPr>
          <w:rFonts w:ascii="Times New Roman" w:hAnsi="Times New Roman"/>
          <w:spacing w:val="6"/>
        </w:rPr>
      </w:pPr>
      <w:r>
        <w:rPr>
          <w:rFonts w:ascii="Times New Roman" w:hAnsi="Times New Roman"/>
          <w:spacing w:val="6"/>
        </w:rPr>
      </w:r>
    </w:p>
    <w:p>
      <w:pPr>
        <w:pStyle w:val="Titre2"/>
        <w:numPr>
          <w:ilvl w:val="1"/>
          <w:numId w:val="1"/>
        </w:numPr>
        <w:tabs>
          <w:tab w:val="left" w:pos="0" w:leader="none"/>
        </w:tabs>
        <w:ind w:left="601" w:right="1058" w:hanging="0"/>
        <w:jc w:val="center"/>
        <w:rPr>
          <w:rFonts w:ascii="Times New Roman" w:hAnsi="Times New Roman"/>
          <w:u w:val="single"/>
        </w:rPr>
      </w:pPr>
      <w:r>
        <w:rPr>
          <w:rFonts w:ascii="Times New Roman" w:hAnsi="Times New Roman"/>
          <w:u w:val="single"/>
        </w:rPr>
        <w:t>États-Unis</w:t>
      </w:r>
    </w:p>
    <w:p>
      <w:pPr>
        <w:pStyle w:val="Corpsdetexte"/>
        <w:rPr>
          <w:rFonts w:ascii="Times New Roman" w:hAnsi="Times New Roman"/>
          <w:b/>
          <w:b/>
        </w:rPr>
      </w:pPr>
      <w:r>
        <w:rPr>
          <w:rFonts w:ascii="Times New Roman" w:hAnsi="Times New Roman"/>
          <w:b/>
        </w:rPr>
      </w:r>
    </w:p>
    <w:p>
      <w:pPr>
        <w:pStyle w:val="Corpsdetexte"/>
        <w:spacing w:before="1" w:after="0"/>
        <w:rPr>
          <w:rFonts w:ascii="Times New Roman" w:hAnsi="Times New Roman"/>
        </w:rPr>
      </w:pPr>
      <w:r>
        <w:rPr>
          <w:rFonts w:ascii="Times New Roman" w:hAnsi="Times New Roman"/>
        </w:rPr>
        <w:t>ARTICLE I</w:t>
      </w:r>
    </w:p>
    <w:p>
      <w:pPr>
        <w:pStyle w:val="Normal"/>
        <w:jc w:val="both"/>
        <w:rPr/>
      </w:pPr>
      <w:r>
        <w:rPr>
          <w:rStyle w:val="Policepardfaut"/>
          <w:rFonts w:ascii="Times New Roman" w:hAnsi="Times New Roman"/>
          <w:b/>
        </w:rPr>
        <w:t>Section 1.</w:t>
      </w:r>
      <w:r>
        <w:rPr>
          <w:rStyle w:val="Policepardfaut"/>
          <w:rFonts w:ascii="Times New Roman" w:hAnsi="Times New Roman"/>
        </w:rPr>
        <w:t xml:space="preserve"> Tous les pouvoirs législatifs ci-après accordés seront conférés à un Congrès des États-Unis, composé d'un Sénat et d'une Chambre des Représentants.</w:t>
      </w:r>
    </w:p>
    <w:p>
      <w:pPr>
        <w:pStyle w:val="Normal"/>
        <w:jc w:val="both"/>
        <w:rPr/>
      </w:pPr>
      <w:r>
        <w:rPr>
          <w:rStyle w:val="Policepardfaut"/>
          <w:rFonts w:ascii="Times New Roman" w:hAnsi="Times New Roman"/>
          <w:b/>
        </w:rPr>
        <w:t>Section 7.</w:t>
      </w:r>
      <w:r>
        <w:rPr>
          <w:rStyle w:val="Policepardfaut"/>
          <w:rFonts w:ascii="Times New Roman" w:hAnsi="Times New Roman"/>
        </w:rPr>
        <w:t xml:space="preserve"> Toutes les propositions de loi (bills) relatives à l'impôt devront être d'abord discutées par la Chambre des Représentants ; mais le Sénat pourra proposer des amendements ou y concourir, comme pour toute  autre  proposition  de  loi  […].  Tout ordre, résolution ou vote nécessitant le concours du Sénat et de la Chambre des Représentants […] sera soumis au Président des États-Unis et, avant de devenir exécutoire, devra être approuvé par lui ou, dans le cas contraire, approuvé à nouveau par une majorité des deux tiers au Sénat et à la Chambre des Représentants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ARTICLE II</w:t>
      </w:r>
    </w:p>
    <w:p>
      <w:pPr>
        <w:pStyle w:val="Normal"/>
        <w:jc w:val="both"/>
        <w:rPr/>
      </w:pPr>
      <w:r>
        <w:rPr>
          <w:rStyle w:val="Policepardfaut"/>
          <w:rFonts w:ascii="Times New Roman" w:hAnsi="Times New Roman"/>
          <w:b/>
        </w:rPr>
        <w:t>Section 1.</w:t>
      </w:r>
      <w:r>
        <w:rPr>
          <w:rStyle w:val="Policepardfaut"/>
          <w:rFonts w:ascii="Times New Roman" w:hAnsi="Times New Roman"/>
        </w:rPr>
        <w:t xml:space="preserve"> Le pouvoir exécutif sera confié à un Président des États-Unis d'Amérique. La durée de son mandat, comme celle du vice-Président, sera de quatre ans […].</w:t>
      </w:r>
    </w:p>
    <w:p>
      <w:pPr>
        <w:pStyle w:val="Normal"/>
        <w:jc w:val="both"/>
        <w:rPr/>
      </w:pPr>
      <w:r>
        <w:rPr>
          <w:rStyle w:val="Policepardfaut"/>
          <w:rFonts w:ascii="Times New Roman" w:hAnsi="Times New Roman"/>
          <w:b/>
        </w:rPr>
        <w:t>Section 2.</w:t>
      </w:r>
      <w:r>
        <w:rPr>
          <w:rStyle w:val="Policepardfaut"/>
          <w:rFonts w:ascii="Times New Roman" w:hAnsi="Times New Roman"/>
        </w:rPr>
        <w:t xml:space="preserve"> Le Président […] disposera du droit de grâce et de commutation de peine pour tous  délits  commis  contre  les  États-Unis,  sauf  en  cas  d'impeachment *.  [...] avec l'avis et l'accord du Sénat, il nommera les ambassadeurs, les autres titulaires de postes diplomatiques et les consuls, les juges de la Cour suprême, et pourvoira  à  tous  les  emplois  fédéraux  créés  par  la  loi  […]</w:t>
      </w:r>
    </w:p>
    <w:p>
      <w:pPr>
        <w:pStyle w:val="Normal"/>
        <w:jc w:val="both"/>
        <w:rPr/>
      </w:pPr>
      <w:r>
        <w:rPr>
          <w:rStyle w:val="Policepardfaut"/>
          <w:rFonts w:ascii="Times New Roman" w:hAnsi="Times New Roman"/>
          <w:b/>
        </w:rPr>
        <w:t>Section 3.</w:t>
      </w:r>
      <w:r>
        <w:rPr>
          <w:rStyle w:val="Policepardfaut"/>
          <w:rFonts w:ascii="Times New Roman" w:hAnsi="Times New Roman"/>
        </w:rPr>
        <w:t xml:space="preserve"> Il informera périodiquement le Congrès sur l'état de l'Union et il recommandera à son  attention  toute  mesure  qu'il  jugera  nécessaire  et  opportune […].</w:t>
      </w:r>
    </w:p>
    <w:p>
      <w:pPr>
        <w:pStyle w:val="Normal"/>
        <w:jc w:val="both"/>
        <w:rPr/>
      </w:pPr>
      <w:r>
        <w:rPr>
          <w:rStyle w:val="Policepardfaut"/>
          <w:rFonts w:ascii="Times New Roman" w:hAnsi="Times New Roman"/>
          <w:b/>
        </w:rPr>
        <w:t>Section 4.</w:t>
      </w:r>
      <w:r>
        <w:rPr>
          <w:rStyle w:val="Policepardfaut"/>
          <w:rFonts w:ascii="Times New Roman" w:hAnsi="Times New Roman"/>
        </w:rPr>
        <w:t xml:space="preserve"> Le Président, le vice-Président et tous les fonctionnaires civils des États- Unis seront destitués de leurs fonctions à la suite d'un impeachment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ARTICLE III</w:t>
      </w:r>
    </w:p>
    <w:p>
      <w:pPr>
        <w:pStyle w:val="Normal"/>
        <w:jc w:val="both"/>
        <w:rPr/>
      </w:pPr>
      <w:r>
        <w:rPr>
          <w:rStyle w:val="Policepardfaut"/>
          <w:rFonts w:ascii="Times New Roman" w:hAnsi="Times New Roman"/>
          <w:b/>
        </w:rPr>
        <w:t>Section 1.</w:t>
      </w:r>
      <w:r>
        <w:rPr>
          <w:rStyle w:val="Policepardfaut"/>
          <w:rFonts w:ascii="Times New Roman" w:hAnsi="Times New Roman"/>
        </w:rPr>
        <w:t xml:space="preserve"> Le pouvoir judiciaire des États-Unis sera dévolu à une Cour suprême et à des tribunaux subordonnés dont le Congrès pourra en temps voulu décider la création. Les juges, tant de la Cour suprême que des tribunaux subordonnés, resteront en fonction aussi longtemps que leur comportement ne donnera lieu à aucun reproche [...].</w:t>
      </w:r>
    </w:p>
    <w:p>
      <w:pPr>
        <w:pStyle w:val="Corpsdetexte"/>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Source : Constitution américaine, 1787.</w:t>
      </w:r>
    </w:p>
    <w:p>
      <w:pPr>
        <w:pStyle w:val="Corpsdetexte"/>
        <w:rPr>
          <w:rFonts w:ascii="Times New Roman" w:hAnsi="Times New Roman"/>
        </w:rPr>
      </w:pPr>
      <w:r>
        <w:rPr>
          <w:rFonts w:ascii="Times New Roman" w:hAnsi="Times New Roman"/>
        </w:rPr>
      </w:r>
    </w:p>
    <w:p>
      <w:pPr>
        <w:pStyle w:val="Normal"/>
        <w:ind w:left="258" w:right="0" w:hanging="0"/>
        <w:jc w:val="both"/>
        <w:rPr>
          <w:rFonts w:ascii="Times New Roman" w:hAnsi="Times New Roman"/>
          <w:color w:val="00000A"/>
          <w:sz w:val="20"/>
          <w:szCs w:val="20"/>
        </w:rPr>
      </w:pPr>
      <w:r>
        <w:rPr>
          <w:rFonts w:ascii="Times New Roman" w:hAnsi="Times New Roman"/>
          <w:color w:val="00000A"/>
          <w:sz w:val="20"/>
          <w:szCs w:val="20"/>
        </w:rPr>
        <w:t>* Impeachment : procédure judiciaire pouvant aboutir à une destitution.</w:t>
      </w:r>
    </w:p>
    <w:p>
      <w:pPr>
        <w:pStyle w:val="Normal"/>
        <w:jc w:val="center"/>
        <w:rPr>
          <w:rFonts w:ascii="Times New Roman" w:hAnsi="Times New Roman"/>
          <w:b/>
          <w:b/>
          <w:bCs/>
          <w:u w:val="single"/>
        </w:rPr>
      </w:pPr>
      <w:r>
        <w:rPr>
          <w:rFonts w:ascii="Times New Roman" w:hAnsi="Times New Roman"/>
          <w:b/>
          <w:bCs/>
          <w:u w:val="single"/>
        </w:rPr>
      </w:r>
    </w:p>
    <w:p>
      <w:pPr>
        <w:pStyle w:val="Normal"/>
        <w:jc w:val="center"/>
        <w:rPr/>
      </w:pPr>
      <w:r>
        <w:rPr>
          <w:rStyle w:val="Policepardfaut"/>
          <w:rFonts w:ascii="Times New Roman" w:hAnsi="Times New Roman"/>
          <w:b/>
          <w:bCs/>
          <w:u w:val="single"/>
        </w:rPr>
        <w:t>Japon</w:t>
      </w:r>
    </w:p>
    <w:p>
      <w:pPr>
        <w:pStyle w:val="Normal"/>
        <w:rPr>
          <w:rFonts w:ascii="Times New Roman" w:hAnsi="Times New Roman"/>
        </w:rPr>
      </w:pPr>
      <w:r>
        <w:rPr>
          <w:rFonts w:ascii="Times New Roman" w:hAnsi="Times New Roman"/>
        </w:rPr>
      </w:r>
    </w:p>
    <w:p>
      <w:pPr>
        <w:pStyle w:val="Normal"/>
        <w:jc w:val="both"/>
        <w:rPr>
          <w:rFonts w:ascii="Times New Roman" w:hAnsi="Times New Roman"/>
          <w:b/>
          <w:b/>
        </w:rPr>
      </w:pPr>
      <w:r>
        <w:rPr>
          <w:rFonts w:ascii="Times New Roman" w:hAnsi="Times New Roman"/>
          <w:b/>
        </w:rPr>
        <w:t>Article premier</w:t>
      </w:r>
    </w:p>
    <w:p>
      <w:pPr>
        <w:pStyle w:val="Normal"/>
        <w:jc w:val="both"/>
        <w:rPr>
          <w:rFonts w:ascii="Times New Roman" w:hAnsi="Times New Roman"/>
        </w:rPr>
      </w:pPr>
      <w:r>
        <w:rPr>
          <w:rFonts w:ascii="Times New Roman" w:hAnsi="Times New Roman"/>
        </w:rPr>
        <w:t>L'Empereur est le symbole de l'État et de l'unité du peuple ; il doit ses fonctions à la volonté du peuple, en qui réside le pouvoir souverain.</w:t>
      </w:r>
    </w:p>
    <w:p>
      <w:pPr>
        <w:pStyle w:val="Normal"/>
        <w:jc w:val="both"/>
        <w:rPr>
          <w:rFonts w:ascii="Times New Roman" w:hAnsi="Times New Roman"/>
          <w:b/>
          <w:b/>
        </w:rPr>
      </w:pPr>
      <w:r>
        <w:rPr>
          <w:rFonts w:ascii="Times New Roman" w:hAnsi="Times New Roman"/>
          <w:b/>
        </w:rPr>
        <w:t>Article 4.</w:t>
      </w:r>
    </w:p>
    <w:p>
      <w:pPr>
        <w:pStyle w:val="Normal"/>
        <w:jc w:val="both"/>
        <w:rPr>
          <w:rFonts w:ascii="Times New Roman" w:hAnsi="Times New Roman"/>
        </w:rPr>
      </w:pPr>
      <w:r>
        <w:rPr>
          <w:rFonts w:ascii="Times New Roman" w:hAnsi="Times New Roman"/>
        </w:rPr>
        <w:t>L'Empereur ne peut exercer que les seules fonctions prévues par la présente Constitution en matière de représentation de l'État ; il n'a pas de pouvoirs de gouvernement. [...]</w:t>
      </w:r>
    </w:p>
    <w:p>
      <w:pPr>
        <w:pStyle w:val="Normal"/>
        <w:jc w:val="both"/>
        <w:rPr>
          <w:rFonts w:ascii="Times New Roman" w:hAnsi="Times New Roman"/>
          <w:b/>
          <w:b/>
        </w:rPr>
      </w:pPr>
      <w:r>
        <w:rPr>
          <w:rFonts w:ascii="Times New Roman" w:hAnsi="Times New Roman"/>
          <w:b/>
        </w:rPr>
        <w:t>Article 6.</w:t>
      </w:r>
    </w:p>
    <w:p>
      <w:pPr>
        <w:pStyle w:val="Normal"/>
        <w:jc w:val="both"/>
        <w:rPr/>
      </w:pPr>
      <w:r>
        <w:rPr>
          <w:rStyle w:val="Policepardfaut"/>
          <w:rFonts w:ascii="Times New Roman" w:hAnsi="Times New Roman"/>
        </w:rPr>
        <w:t>L'Empereur nomme le premier ministre désigné par la Diète</w:t>
      </w:r>
      <w:r>
        <w:rPr>
          <w:rStyle w:val="Policepardfaut"/>
          <w:rFonts w:ascii="Times New Roman" w:hAnsi="Times New Roman"/>
          <w:position w:val="24"/>
          <w:sz w:val="16"/>
        </w:rPr>
        <w:t>1</w:t>
      </w:r>
      <w:r>
        <w:rPr>
          <w:rStyle w:val="Policepardfaut"/>
          <w:rFonts w:ascii="Times New Roman" w:hAnsi="Times New Roman"/>
        </w:rPr>
        <w:t>. L'Empereur nomme le président de la Cour suprême désigné par la Diète.</w:t>
      </w:r>
    </w:p>
    <w:p>
      <w:pPr>
        <w:pStyle w:val="Normal"/>
        <w:jc w:val="both"/>
        <w:rPr>
          <w:rFonts w:ascii="Times New Roman" w:hAnsi="Times New Roman"/>
          <w:b/>
          <w:b/>
        </w:rPr>
      </w:pPr>
      <w:r>
        <w:rPr>
          <w:rFonts w:ascii="Times New Roman" w:hAnsi="Times New Roman"/>
          <w:b/>
        </w:rPr>
        <w:t>Article 7.</w:t>
      </w:r>
    </w:p>
    <w:p>
      <w:pPr>
        <w:pStyle w:val="Normal"/>
        <w:jc w:val="both"/>
        <w:rPr/>
      </w:pPr>
      <w:r>
        <w:rPr>
          <w:rStyle w:val="Policepardfaut"/>
          <w:rFonts w:ascii="Times New Roman" w:hAnsi="Times New Roman"/>
        </w:rPr>
        <w:t>L'Empereur, suivant l'avis et l'approbation du cabinet</w:t>
      </w:r>
      <w:r>
        <w:rPr>
          <w:rStyle w:val="Policepardfaut"/>
          <w:rFonts w:ascii="Times New Roman" w:hAnsi="Times New Roman"/>
          <w:position w:val="24"/>
          <w:sz w:val="16"/>
        </w:rPr>
        <w:t>2</w:t>
      </w:r>
      <w:r>
        <w:rPr>
          <w:rStyle w:val="Policepardfaut"/>
          <w:rFonts w:ascii="Times New Roman" w:hAnsi="Times New Roman"/>
        </w:rPr>
        <w:t>, s'acquitte des fonctions suivantes en matière de représentation de l'État au nom du peuple : [...]</w:t>
      </w:r>
    </w:p>
    <w:p>
      <w:pPr>
        <w:pStyle w:val="Paragraphedeliste"/>
        <w:numPr>
          <w:ilvl w:val="0"/>
          <w:numId w:val="3"/>
        </w:numPr>
        <w:jc w:val="both"/>
        <w:rPr>
          <w:rFonts w:ascii="Times New Roman" w:hAnsi="Times New Roman"/>
        </w:rPr>
      </w:pPr>
      <w:r>
        <w:rPr>
          <w:rFonts w:ascii="Times New Roman" w:hAnsi="Times New Roman"/>
        </w:rPr>
        <w:t>Dissolution de la Chambre des représentants ; [...]</w:t>
      </w:r>
    </w:p>
    <w:p>
      <w:pPr>
        <w:pStyle w:val="Paragraphedeliste"/>
        <w:numPr>
          <w:ilvl w:val="0"/>
          <w:numId w:val="3"/>
        </w:numPr>
        <w:jc w:val="both"/>
        <w:rPr>
          <w:rFonts w:ascii="Times New Roman" w:hAnsi="Times New Roman"/>
        </w:rPr>
      </w:pPr>
      <w:r>
        <w:rPr>
          <w:rFonts w:ascii="Times New Roman" w:hAnsi="Times New Roman"/>
        </w:rPr>
        <w:t>Attribution des distinctions honorifiques ;</w:t>
      </w:r>
    </w:p>
    <w:p>
      <w:pPr>
        <w:pStyle w:val="Paragraphedeliste"/>
        <w:numPr>
          <w:ilvl w:val="0"/>
          <w:numId w:val="3"/>
        </w:numPr>
        <w:jc w:val="both"/>
        <w:rPr>
          <w:rFonts w:ascii="Times New Roman" w:hAnsi="Times New Roman"/>
        </w:rPr>
      </w:pPr>
      <w:r>
        <w:rPr>
          <w:rFonts w:ascii="Times New Roman" w:hAnsi="Times New Roman"/>
        </w:rPr>
        <w:t>Représentation de l'État aux cérémonies officielles.</w:t>
      </w:r>
    </w:p>
    <w:p>
      <w:pPr>
        <w:pStyle w:val="Normal"/>
        <w:jc w:val="both"/>
        <w:rPr>
          <w:rFonts w:ascii="Times New Roman" w:hAnsi="Times New Roman"/>
          <w:b/>
          <w:b/>
        </w:rPr>
      </w:pPr>
      <w:r>
        <w:rPr>
          <w:rFonts w:ascii="Times New Roman" w:hAnsi="Times New Roman"/>
          <w:b/>
        </w:rPr>
        <w:t>Article 41.</w:t>
      </w:r>
    </w:p>
    <w:p>
      <w:pPr>
        <w:pStyle w:val="Normal"/>
        <w:jc w:val="both"/>
        <w:rPr>
          <w:rFonts w:ascii="Times New Roman" w:hAnsi="Times New Roman"/>
        </w:rPr>
      </w:pPr>
      <w:r>
        <w:rPr>
          <w:rFonts w:ascii="Times New Roman" w:hAnsi="Times New Roman"/>
        </w:rPr>
        <w:t>La Diète est l'organe suprême du pouvoir d'État, et le seul organe légiférant de l'État.</w:t>
      </w:r>
    </w:p>
    <w:p>
      <w:pPr>
        <w:pStyle w:val="Normal"/>
        <w:jc w:val="both"/>
        <w:rPr>
          <w:rFonts w:ascii="Times New Roman" w:hAnsi="Times New Roman"/>
          <w:b/>
          <w:b/>
        </w:rPr>
      </w:pPr>
      <w:r>
        <w:rPr>
          <w:rFonts w:ascii="Times New Roman" w:hAnsi="Times New Roman"/>
          <w:b/>
        </w:rPr>
        <w:t>Article 42.</w:t>
      </w:r>
    </w:p>
    <w:p>
      <w:pPr>
        <w:pStyle w:val="Normal"/>
        <w:jc w:val="both"/>
        <w:rPr>
          <w:rFonts w:ascii="Times New Roman" w:hAnsi="Times New Roman"/>
        </w:rPr>
      </w:pPr>
      <w:r>
        <w:rPr>
          <w:rFonts w:ascii="Times New Roman" w:hAnsi="Times New Roman"/>
        </w:rPr>
        <w:t>La Diète se compose de deux chambres : la Chambre des représentants et la Chambre des conseillers.</w:t>
      </w:r>
    </w:p>
    <w:p>
      <w:pPr>
        <w:pStyle w:val="Normal"/>
        <w:jc w:val="both"/>
        <w:rPr>
          <w:rFonts w:ascii="Times New Roman" w:hAnsi="Times New Roman"/>
          <w:b/>
          <w:b/>
        </w:rPr>
      </w:pPr>
      <w:r>
        <w:rPr>
          <w:rFonts w:ascii="Times New Roman" w:hAnsi="Times New Roman"/>
          <w:b/>
        </w:rPr>
        <w:t>Article 59.</w:t>
      </w:r>
    </w:p>
    <w:p>
      <w:pPr>
        <w:pStyle w:val="Normal"/>
        <w:jc w:val="both"/>
        <w:rPr>
          <w:rFonts w:ascii="Times New Roman" w:hAnsi="Times New Roman"/>
        </w:rPr>
      </w:pPr>
      <w:r>
        <w:rPr>
          <w:rFonts w:ascii="Times New Roman" w:hAnsi="Times New Roman"/>
        </w:rPr>
        <w:t>Un projet de loi ou une proposition de loi devient loi après son adoption par les deux chambres, à moins qu'il n'en soit décidé autrement par la Constitution. [...]</w:t>
      </w:r>
    </w:p>
    <w:p>
      <w:pPr>
        <w:pStyle w:val="Normal"/>
        <w:jc w:val="both"/>
        <w:rPr>
          <w:rFonts w:ascii="Times New Roman" w:hAnsi="Times New Roman"/>
          <w:b/>
          <w:b/>
        </w:rPr>
      </w:pPr>
      <w:r>
        <w:rPr>
          <w:rFonts w:ascii="Times New Roman" w:hAnsi="Times New Roman"/>
          <w:b/>
        </w:rPr>
        <w:t>Article 63.</w:t>
      </w:r>
    </w:p>
    <w:p>
      <w:pPr>
        <w:pStyle w:val="Normal"/>
        <w:jc w:val="both"/>
        <w:rPr>
          <w:rFonts w:ascii="Times New Roman" w:hAnsi="Times New Roman"/>
        </w:rPr>
      </w:pPr>
      <w:r>
        <w:rPr>
          <w:rFonts w:ascii="Times New Roman" w:hAnsi="Times New Roman"/>
        </w:rPr>
        <w:t>Le premier ministre et les autres ministres d'État ont, à tout moment, la faculté de venir devant l'une ou l'autre chambre pour prendre la parole sur des projets de lois ou des propositions de loi, qu'ils soient ou non membres de la chambre. Ils doivent se présenter lorsque leur présence est requise aux fins de réponses et d'explications.</w:t>
      </w:r>
    </w:p>
    <w:p>
      <w:pPr>
        <w:pStyle w:val="Normal"/>
        <w:jc w:val="both"/>
        <w:rPr>
          <w:rFonts w:ascii="Times New Roman" w:hAnsi="Times New Roman"/>
          <w:b/>
          <w:b/>
        </w:rPr>
      </w:pPr>
      <w:r>
        <w:rPr>
          <w:rFonts w:ascii="Times New Roman" w:hAnsi="Times New Roman"/>
          <w:b/>
        </w:rPr>
        <w:t>Article 65.</w:t>
      </w:r>
    </w:p>
    <w:p>
      <w:pPr>
        <w:pStyle w:val="Normal"/>
        <w:jc w:val="both"/>
        <w:rPr>
          <w:rFonts w:ascii="Times New Roman" w:hAnsi="Times New Roman"/>
        </w:rPr>
      </w:pPr>
      <w:r>
        <w:rPr>
          <w:rFonts w:ascii="Times New Roman" w:hAnsi="Times New Roman"/>
        </w:rPr>
        <w:t>Le pouvoir exécutif est dévolu au cabinet.</w:t>
      </w:r>
    </w:p>
    <w:p>
      <w:pPr>
        <w:pStyle w:val="Normal"/>
        <w:jc w:val="both"/>
        <w:rPr>
          <w:rFonts w:ascii="Times New Roman" w:hAnsi="Times New Roman"/>
          <w:b/>
          <w:b/>
        </w:rPr>
      </w:pPr>
      <w:r>
        <w:rPr>
          <w:rFonts w:ascii="Times New Roman" w:hAnsi="Times New Roman"/>
          <w:b/>
        </w:rPr>
        <w:t>Article 66.</w:t>
      </w:r>
    </w:p>
    <w:p>
      <w:pPr>
        <w:pStyle w:val="Normal"/>
        <w:jc w:val="both"/>
        <w:rPr>
          <w:rFonts w:ascii="Times New Roman" w:hAnsi="Times New Roman"/>
        </w:rPr>
      </w:pPr>
      <w:r>
        <w:rPr>
          <w:rFonts w:ascii="Times New Roman" w:hAnsi="Times New Roman"/>
        </w:rPr>
        <w:t>Le cabinet se compose du premier ministre, qui assure la présidence, et des autres ministres d'État, dans les conditions prévues par la loi. [...] Le cabinet, dans l'exercice de son pouvoir exécutif, est solidairement responsable devant la Diète.</w:t>
      </w:r>
    </w:p>
    <w:p>
      <w:pPr>
        <w:pStyle w:val="Normal"/>
        <w:jc w:val="both"/>
        <w:rPr>
          <w:rFonts w:ascii="Times New Roman" w:hAnsi="Times New Roman"/>
          <w:b/>
          <w:b/>
        </w:rPr>
      </w:pPr>
      <w:r>
        <w:rPr>
          <w:rFonts w:ascii="Times New Roman" w:hAnsi="Times New Roman"/>
          <w:b/>
        </w:rPr>
        <w:t>Article 67.</w:t>
      </w:r>
    </w:p>
    <w:p>
      <w:pPr>
        <w:pStyle w:val="Normal"/>
        <w:jc w:val="both"/>
        <w:rPr>
          <w:rFonts w:ascii="Times New Roman" w:hAnsi="Times New Roman"/>
        </w:rPr>
      </w:pPr>
      <w:r>
        <w:rPr>
          <w:rFonts w:ascii="Times New Roman" w:hAnsi="Times New Roman"/>
        </w:rPr>
        <w:t>Le premier ministre est désigné parmi les membres de la Diète, sur résolution de celle-ci. [...]</w:t>
      </w:r>
    </w:p>
    <w:p>
      <w:pPr>
        <w:pStyle w:val="Normal"/>
        <w:jc w:val="both"/>
        <w:rPr>
          <w:rFonts w:ascii="Times New Roman" w:hAnsi="Times New Roman"/>
          <w:b/>
          <w:b/>
        </w:rPr>
      </w:pPr>
      <w:r>
        <w:rPr>
          <w:rFonts w:ascii="Times New Roman" w:hAnsi="Times New Roman"/>
          <w:b/>
        </w:rPr>
        <w:t>Article 68.</w:t>
      </w:r>
    </w:p>
    <w:p>
      <w:pPr>
        <w:pStyle w:val="Normal"/>
        <w:jc w:val="both"/>
        <w:rPr>
          <w:rFonts w:ascii="Times New Roman" w:hAnsi="Times New Roman"/>
        </w:rPr>
      </w:pPr>
      <w:r>
        <w:rPr>
          <w:rFonts w:ascii="Times New Roman" w:hAnsi="Times New Roman"/>
        </w:rPr>
        <w:t>Le premier ministre nomme les ministres d'État. La majorité des ministres doit être choisie parmi les membres de la Diète.</w:t>
      </w:r>
    </w:p>
    <w:p>
      <w:pPr>
        <w:pStyle w:val="Normal"/>
        <w:jc w:val="both"/>
        <w:rPr>
          <w:rFonts w:ascii="Times New Roman" w:hAnsi="Times New Roman"/>
          <w:b/>
          <w:b/>
        </w:rPr>
      </w:pPr>
      <w:r>
        <w:rPr>
          <w:rFonts w:ascii="Times New Roman" w:hAnsi="Times New Roman"/>
          <w:b/>
        </w:rPr>
        <w:t>Article 69.</w:t>
      </w:r>
    </w:p>
    <w:p>
      <w:pPr>
        <w:pStyle w:val="Normal"/>
        <w:jc w:val="both"/>
        <w:rPr>
          <w:rFonts w:ascii="Times New Roman" w:hAnsi="Times New Roman"/>
        </w:rPr>
      </w:pPr>
      <w:r>
        <w:rPr>
          <w:rFonts w:ascii="Times New Roman" w:hAnsi="Times New Roman"/>
        </w:rPr>
        <w:t>Si la Chambre des représentants adopte une motion de censure, ou rejette une motion de confiance, le cabinet doit démissionner en bloc. [...]</w:t>
      </w:r>
    </w:p>
    <w:p>
      <w:pPr>
        <w:pStyle w:val="Normal"/>
        <w:jc w:val="both"/>
        <w:rPr>
          <w:rFonts w:ascii="Times New Roman" w:hAnsi="Times New Roman"/>
          <w:b/>
          <w:b/>
        </w:rPr>
      </w:pPr>
      <w:r>
        <w:rPr>
          <w:rFonts w:ascii="Times New Roman" w:hAnsi="Times New Roman"/>
          <w:b/>
        </w:rPr>
        <w:t>Article 76.</w:t>
      </w:r>
    </w:p>
    <w:p>
      <w:pPr>
        <w:pStyle w:val="Normal"/>
        <w:jc w:val="both"/>
        <w:rPr>
          <w:rFonts w:ascii="Times New Roman" w:hAnsi="Times New Roman"/>
        </w:rPr>
      </w:pPr>
      <w:r>
        <w:rPr>
          <w:rFonts w:ascii="Times New Roman" w:hAnsi="Times New Roman"/>
        </w:rPr>
        <w:t>Le pouvoir judiciaire, dans son ensemble, est dévolu à une Cour suprême ainsi qu'à tout tribunal inférieur créé par la loi.</w:t>
      </w:r>
    </w:p>
    <w:p>
      <w:pPr>
        <w:pStyle w:val="Normal"/>
        <w:jc w:val="both"/>
        <w:rPr>
          <w:rFonts w:ascii="Times New Roman" w:hAnsi="Times New Roman"/>
          <w:b/>
          <w:b/>
        </w:rPr>
      </w:pPr>
      <w:r>
        <w:rPr>
          <w:rFonts w:ascii="Times New Roman" w:hAnsi="Times New Roman"/>
          <w:b/>
        </w:rPr>
        <w:t>Article 78.</w:t>
      </w:r>
    </w:p>
    <w:p>
      <w:pPr>
        <w:pStyle w:val="Normal"/>
        <w:jc w:val="both"/>
        <w:rPr>
          <w:rFonts w:ascii="Times New Roman" w:hAnsi="Times New Roman"/>
        </w:rPr>
      </w:pPr>
      <w:r>
        <w:rPr>
          <w:rFonts w:ascii="Times New Roman" w:hAnsi="Times New Roman"/>
        </w:rPr>
        <w:t>[...] Aucune action disciplinaire contre des juges ne peut être entreprise par un organe ou service dépendant de l'exécutif.</w:t>
      </w:r>
    </w:p>
    <w:p>
      <w:pPr>
        <w:pStyle w:val="Normal"/>
        <w:jc w:val="right"/>
        <w:rPr>
          <w:rFonts w:ascii="Times New Roman" w:hAnsi="Times New Roman"/>
        </w:rPr>
      </w:pPr>
      <w:r>
        <w:rPr>
          <w:rFonts w:ascii="Times New Roman" w:hAnsi="Times New Roman"/>
        </w:rPr>
        <w:t>Source : Constitution du Japon  1946.</w:t>
      </w:r>
    </w:p>
    <w:p>
      <w:pPr>
        <w:pStyle w:val="Paragraphedeliste"/>
        <w:numPr>
          <w:ilvl w:val="0"/>
          <w:numId w:val="6"/>
        </w:numPr>
        <w:rPr>
          <w:rFonts w:ascii="Times New Roman" w:hAnsi="Times New Roman"/>
          <w:sz w:val="20"/>
          <w:szCs w:val="20"/>
        </w:rPr>
      </w:pPr>
      <w:r>
        <w:rPr>
          <w:rFonts w:ascii="Times New Roman" w:hAnsi="Times New Roman"/>
          <w:sz w:val="20"/>
          <w:szCs w:val="20"/>
        </w:rPr>
        <w:t>Diète : Parlement.</w:t>
      </w:r>
    </w:p>
    <w:p>
      <w:pPr>
        <w:pStyle w:val="Paragraphedeliste"/>
        <w:numPr>
          <w:ilvl w:val="0"/>
          <w:numId w:val="6"/>
        </w:numPr>
        <w:jc w:val="both"/>
        <w:rPr/>
      </w:pPr>
      <w:r>
        <w:rPr>
          <w:rStyle w:val="Policepardfaut"/>
          <w:rFonts w:ascii="Times New Roman" w:hAnsi="Times New Roman"/>
          <w:sz w:val="20"/>
          <w:szCs w:val="20"/>
        </w:rPr>
        <w:t>Cabinet : Gouvernement</w:t>
      </w:r>
    </w:p>
    <w:sectPr>
      <w:type w:val="nextPage"/>
      <w:pgSz w:w="11906" w:h="16838"/>
      <w:pgMar w:left="1134" w:right="1134"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 w:hanging="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72" w:hanging="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before="0" w:after="0"/>
      <w:jc w:val="left"/>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Normal"/>
    <w:pPr>
      <w:numPr>
        <w:ilvl w:val="1"/>
        <w:numId w:val="1"/>
      </w:numPr>
      <w:suppressAutoHyphens w:val="true"/>
      <w:ind w:left="258" w:right="0" w:hanging="0"/>
      <w:outlineLvl w:val="1"/>
      <w:outlineLvl w:val="1"/>
    </w:pPr>
    <w:rPr>
      <w:b/>
      <w:bCs/>
    </w:rPr>
  </w:style>
  <w:style w:type="paragraph" w:styleId="Titre3">
    <w:name w:val="Titre 3"/>
    <w:basedOn w:val="Titre"/>
    <w:next w:val="Corpsdetexte"/>
    <w:pPr>
      <w:numPr>
        <w:ilvl w:val="2"/>
        <w:numId w:val="1"/>
      </w:numPr>
      <w:suppressAutoHyphens w:val="true"/>
      <w:spacing w:before="140" w:after="0"/>
      <w:outlineLvl w:val="2"/>
      <w:outlineLvl w:val="2"/>
    </w:pPr>
    <w:rPr>
      <w:rFonts w:ascii="Liberation Serif" w:hAnsi="Liberation Serif" w:eastAsia="NSimSun"/>
      <w:b/>
      <w:bCs/>
    </w:rPr>
  </w:style>
  <w:style w:type="character" w:styleId="Policepardfaut">
    <w:name w:val="Police par défaut"/>
    <w:qFormat/>
    <w:rPr/>
  </w:style>
  <w:style w:type="character" w:styleId="ListLabel2">
    <w:name w:val="ListLabel 2"/>
    <w:qFormat/>
    <w:rPr>
      <w:rFonts w:cs="Times New Roman"/>
    </w:rPr>
  </w:style>
  <w:style w:type="character" w:styleId="ListLabel30">
    <w:name w:val="ListLabel 30"/>
    <w:qFormat/>
    <w:rPr/>
  </w:style>
  <w:style w:type="character" w:styleId="ListLabel31">
    <w:name w:val="ListLabel 31"/>
    <w:qFormat/>
    <w:rPr/>
  </w:style>
  <w:style w:type="character" w:styleId="ListLabel32">
    <w:name w:val="ListLabel 32"/>
    <w:qFormat/>
    <w:rPr/>
  </w:style>
  <w:style w:type="character" w:styleId="ListLabel33">
    <w:name w:val="ListLabel 33"/>
    <w:qFormat/>
    <w:rPr/>
  </w:style>
  <w:style w:type="character" w:styleId="ListLabel34">
    <w:name w:val="ListLabel 34"/>
    <w:qFormat/>
    <w:rPr/>
  </w:style>
  <w:style w:type="character" w:styleId="ListLabel35">
    <w:name w:val="ListLabel 35"/>
    <w:qFormat/>
    <w:rPr/>
  </w:style>
  <w:style w:type="character" w:styleId="ListLabel36">
    <w:name w:val="ListLabel 36"/>
    <w:qFormat/>
    <w:rPr/>
  </w:style>
  <w:style w:type="character" w:styleId="ListLabel37">
    <w:name w:val="ListLabel 37"/>
    <w:qFormat/>
    <w:rPr/>
  </w:style>
  <w:style w:type="character" w:styleId="ListLabel38">
    <w:name w:val="ListLabel 38"/>
    <w:qFormat/>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WWCharLFO1LVL1">
    <w:name w:val="WW_CharLFO1LVL1"/>
    <w:qFormat/>
    <w:rPr>
      <w:rFonts w:cs="Times New Roman"/>
    </w:rPr>
  </w:style>
  <w:style w:type="character" w:styleId="WWCharLFO2LVL1">
    <w:name w:val="WW_CharLFO2LVL1"/>
    <w:qFormat/>
    <w:rPr>
      <w:rFonts w:ascii="Arial" w:hAnsi="Arial"/>
    </w:rPr>
  </w:style>
  <w:style w:type="character" w:styleId="WWCharLFO2LVL2">
    <w:name w:val="WW_CharLFO2LVL2"/>
    <w:qFormat/>
    <w:rPr>
      <w:rFonts w:ascii="Courier New" w:hAnsi="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rPr>
  </w:style>
  <w:style w:type="character" w:styleId="WWCharLFO2LVL9">
    <w:name w:val="WW_CharLFO2LVL9"/>
    <w:qFormat/>
    <w:rPr>
      <w:rFonts w:ascii="Wingdings" w:hAnsi="Wingdings"/>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paragraph" w:styleId="Titre">
    <w:name w:val="Titre"/>
    <w:basedOn w:val="Normal"/>
    <w:next w:val="Corpsdetexte"/>
    <w:qFormat/>
    <w:pPr>
      <w:keepNext/>
      <w:suppressAutoHyphens w:val="true"/>
      <w:spacing w:before="240" w:after="120"/>
    </w:pPr>
    <w:rPr>
      <w:rFonts w:ascii="Liberation Sans" w:hAnsi="Liberation Sans" w:eastAsia="Microsoft YaHei"/>
      <w:sz w:val="28"/>
      <w:szCs w:val="28"/>
    </w:rPr>
  </w:style>
  <w:style w:type="paragraph" w:styleId="Corpsdetexte">
    <w:name w:val="Corps de texte"/>
    <w:basedOn w:val="Normal"/>
    <w:pPr>
      <w:suppressAutoHyphens w:val="true"/>
      <w:spacing w:lineRule="auto" w:line="276" w:before="0" w:after="140"/>
    </w:pPr>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before="0" w:after="0"/>
      <w:jc w:val="left"/>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paragraph" w:styleId="Liste">
    <w:name w:val="Liste"/>
    <w:basedOn w:val="Corpsdetexte"/>
    <w:pPr>
      <w:suppressAutoHyphens w:val="true"/>
    </w:pPr>
    <w:rPr/>
  </w:style>
  <w:style w:type="paragraph" w:styleId="Lgende">
    <w:name w:val="Légende"/>
    <w:basedOn w:val="Normal"/>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Paragraphedeliste">
    <w:name w:val="Paragraphe de liste"/>
    <w:basedOn w:val="Normal"/>
    <w:qFormat/>
    <w:pPr>
      <w:suppressAutoHyphens w:val="true"/>
      <w:spacing w:before="0" w:after="0"/>
      <w:ind w:left="720" w:right="0" w:hanging="0"/>
      <w:contextualSpacing/>
    </w:pPr>
    <w:rPr/>
  </w:style>
  <w:style w:type="paragraph" w:styleId="Default">
    <w:name w:val="Default"/>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before="0" w:after="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eastAsia="fr-FR" w:bidi="ar-SA" w:val="fr-FR"/>
    </w:rPr>
  </w:style>
  <w:style w:type="paragraph" w:styleId="CM10">
    <w:name w:val="CM10"/>
    <w:basedOn w:val="Default"/>
    <w:next w:val="Default"/>
    <w:qFormat/>
    <w:pPr>
      <w:suppressAutoHyphens w:val="true"/>
      <w:spacing w:before="0" w:after="275"/>
    </w:pPr>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TotalTime>
  <Application>LibreOffice/5.0.2.2$Windows_x86 LibreOffice_project/37b43f919e4de5eeaca9b9755ed688758a8251fe</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2022-11-10T12:34:00Z</dcterms:created>
  <dc:language>fr-FR</dc:language>
  <dcterms:modified xsi:type="dcterms:W3CDTF">2022-12-05T08:58:00Z</dcterms:modified>
  <cp:revision>6</cp:revision>
</cp:coreProperties>
</file>