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F2BA682" w14:textId="5957BD49" w:rsidR="00283E7C" w:rsidRPr="003D3D69" w:rsidRDefault="00F450BE" w:rsidP="00283E7C">
      <w:pPr>
        <w:pBdr>
          <w:bottom w:val="single" w:sz="4" w:space="1" w:color="auto"/>
        </w:pBdr>
        <w:jc w:val="center"/>
        <w:rPr>
          <w:rFonts w:ascii="Copperplate Gothic Bold" w:hAnsi="Copperplate Gothic Bold"/>
          <w:b/>
          <w:sz w:val="40"/>
          <w:szCs w:val="40"/>
        </w:rPr>
      </w:pPr>
      <w:r>
        <w:rPr>
          <w:rFonts w:ascii="Copperplate Gothic Bold" w:hAnsi="Copperplate Gothic Bold"/>
          <w:b/>
          <w:noProof/>
          <w:sz w:val="40"/>
          <w:szCs w:val="40"/>
          <w:lang w:eastAsia="fr-FR"/>
        </w:rPr>
        <w:pict w14:anchorId="22DEA227">
          <v:shape id="Image 1" o:spid="_x0000_i1026" type="#_x0000_t75" style="width:26.2pt;height:25.1pt;visibility:visible;mso-wrap-style:square" o:bullet="t">
            <v:imagedata r:id="rId5" o:title=""/>
          </v:shape>
        </w:pict>
      </w:r>
      <w:r w:rsidR="00283E7C" w:rsidRPr="003D3D69">
        <w:rPr>
          <w:rFonts w:ascii="Copperplate Gothic Bold" w:hAnsi="Copperplate Gothic Bold"/>
          <w:b/>
          <w:noProof/>
          <w:sz w:val="40"/>
          <w:szCs w:val="40"/>
          <w:lang w:eastAsia="fr-FR"/>
        </w:rPr>
        <w:t xml:space="preserve"> </w:t>
      </w:r>
      <w:r w:rsidR="00ED3C58" w:rsidRPr="003D3D69">
        <w:rPr>
          <w:rFonts w:ascii="Copperplate Gothic Bold" w:hAnsi="Copperplate Gothic Bold"/>
          <w:b/>
          <w:sz w:val="40"/>
          <w:szCs w:val="40"/>
        </w:rPr>
        <w:t xml:space="preserve">Objectif </w:t>
      </w:r>
      <w:r w:rsidR="00AD2B26">
        <w:rPr>
          <w:rFonts w:ascii="Copperplate Gothic Bold" w:hAnsi="Copperplate Gothic Bold"/>
          <w:b/>
          <w:sz w:val="40"/>
          <w:szCs w:val="40"/>
        </w:rPr>
        <w:t>Savoir-Faire</w:t>
      </w:r>
      <w:r w:rsidR="00ED3C58" w:rsidRPr="003D3D69">
        <w:rPr>
          <w:rFonts w:ascii="Copperplate Gothic Bold" w:hAnsi="Copperplate Gothic Bold"/>
          <w:b/>
          <w:sz w:val="40"/>
          <w:szCs w:val="40"/>
        </w:rPr>
        <w:t xml:space="preserve"> : </w:t>
      </w:r>
      <w:r w:rsidR="00510845" w:rsidRPr="003D3D69">
        <w:rPr>
          <w:rFonts w:ascii="Copperplate Gothic Bold" w:hAnsi="Copperplate Gothic Bold"/>
          <w:b/>
          <w:sz w:val="40"/>
          <w:szCs w:val="40"/>
        </w:rPr>
        <w:t>Débattre</w:t>
      </w:r>
      <w:r w:rsidR="00283E7C" w:rsidRPr="003D3D69">
        <w:rPr>
          <w:rFonts w:ascii="Copperplate Gothic Bold" w:hAnsi="Copperplate Gothic Bold"/>
          <w:b/>
          <w:sz w:val="40"/>
          <w:szCs w:val="40"/>
        </w:rPr>
        <w:t xml:space="preserve"> </w:t>
      </w:r>
      <w:r w:rsidR="00283E7C" w:rsidRPr="003D3D69">
        <w:rPr>
          <w:rFonts w:ascii="Copperplate Gothic Bold" w:hAnsi="Copperplate Gothic Bold"/>
          <w:b/>
          <w:noProof/>
          <w:sz w:val="40"/>
          <w:szCs w:val="40"/>
          <w:lang w:eastAsia="fr-FR"/>
        </w:rPr>
        <w:drawing>
          <wp:inline distT="0" distB="0" distL="0" distR="0" wp14:anchorId="51FF65A5" wp14:editId="4DEB3C9D">
            <wp:extent cx="342900" cy="311150"/>
            <wp:effectExtent l="19050" t="0" r="0" b="0"/>
            <wp:docPr id="9"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pic:cNvPicPr>
                      <a:picLocks noChangeAspect="1" noChangeArrowheads="1"/>
                    </pic:cNvPicPr>
                  </pic:nvPicPr>
                  <pic:blipFill>
                    <a:blip r:embed="rId6" cstate="print"/>
                    <a:srcRect/>
                    <a:stretch>
                      <a:fillRect/>
                    </a:stretch>
                  </pic:blipFill>
                  <pic:spPr bwMode="auto">
                    <a:xfrm>
                      <a:off x="0" y="0"/>
                      <a:ext cx="342900" cy="311150"/>
                    </a:xfrm>
                    <a:prstGeom prst="rect">
                      <a:avLst/>
                    </a:prstGeom>
                    <a:noFill/>
                    <a:ln w="9525">
                      <a:noFill/>
                      <a:miter lim="800000"/>
                      <a:headEnd/>
                      <a:tailEnd/>
                    </a:ln>
                  </pic:spPr>
                </pic:pic>
              </a:graphicData>
            </a:graphic>
          </wp:inline>
        </w:drawing>
      </w:r>
    </w:p>
    <w:p w14:paraId="689F8F5B" w14:textId="77777777" w:rsidR="00283E7C" w:rsidRPr="003D3D69" w:rsidRDefault="00283E7C" w:rsidP="001F726E">
      <w:pPr>
        <w:spacing w:after="0"/>
        <w:rPr>
          <w:rFonts w:cstheme="minorHAnsi"/>
          <w:b/>
          <w:sz w:val="28"/>
          <w:szCs w:val="28"/>
        </w:rPr>
      </w:pPr>
    </w:p>
    <w:p w14:paraId="4C4B96DC" w14:textId="4CD881A6" w:rsidR="00283E7C" w:rsidRPr="003D3D69" w:rsidRDefault="00510845" w:rsidP="001F726E">
      <w:pPr>
        <w:pStyle w:val="Paragraphedeliste"/>
        <w:numPr>
          <w:ilvl w:val="0"/>
          <w:numId w:val="1"/>
        </w:numPr>
        <w:tabs>
          <w:tab w:val="left" w:pos="426"/>
        </w:tabs>
        <w:spacing w:after="0"/>
        <w:ind w:left="0" w:firstLine="0"/>
        <w:rPr>
          <w:rFonts w:cstheme="minorHAnsi"/>
          <w:sz w:val="32"/>
          <w:szCs w:val="28"/>
          <w:u w:val="single"/>
        </w:rPr>
      </w:pPr>
      <w:r w:rsidRPr="003D3D69">
        <w:rPr>
          <w:rFonts w:cstheme="minorHAnsi"/>
          <w:b/>
          <w:sz w:val="32"/>
          <w:szCs w:val="28"/>
          <w:u w:val="single"/>
        </w:rPr>
        <w:t>Préparer le débat</w:t>
      </w:r>
    </w:p>
    <w:p w14:paraId="0AE758FB" w14:textId="77777777" w:rsidR="00283E7C" w:rsidRPr="003D3D69" w:rsidRDefault="00283E7C" w:rsidP="00283E7C">
      <w:pPr>
        <w:spacing w:after="0"/>
        <w:rPr>
          <w:rFonts w:cstheme="minorHAnsi"/>
          <w:sz w:val="16"/>
          <w:szCs w:val="16"/>
        </w:rPr>
      </w:pPr>
    </w:p>
    <w:p w14:paraId="7C8F5664" w14:textId="45C9E86A" w:rsidR="00283E7C" w:rsidRPr="00335AF7" w:rsidRDefault="00510845" w:rsidP="00C929DA">
      <w:pPr>
        <w:spacing w:after="0"/>
        <w:jc w:val="both"/>
        <w:rPr>
          <w:rFonts w:cstheme="minorHAnsi"/>
          <w:sz w:val="24"/>
          <w:szCs w:val="24"/>
        </w:rPr>
      </w:pPr>
      <w:r w:rsidRPr="00335AF7">
        <w:rPr>
          <w:rFonts w:cstheme="minorHAnsi"/>
          <w:sz w:val="24"/>
          <w:szCs w:val="24"/>
        </w:rPr>
        <w:t>Vous allez être réparti en groupe de 3 ou 4 élèves et prendrez connaissance du dossier documentaire.</w:t>
      </w:r>
    </w:p>
    <w:p w14:paraId="4863254A" w14:textId="14133A96" w:rsidR="00510845" w:rsidRDefault="00510845" w:rsidP="00C929DA">
      <w:pPr>
        <w:spacing w:after="0"/>
        <w:jc w:val="both"/>
        <w:rPr>
          <w:rFonts w:cstheme="minorHAnsi"/>
          <w:sz w:val="24"/>
          <w:szCs w:val="24"/>
        </w:rPr>
      </w:pPr>
      <w:r w:rsidRPr="00335AF7">
        <w:rPr>
          <w:rFonts w:cstheme="minorHAnsi"/>
          <w:sz w:val="24"/>
          <w:szCs w:val="24"/>
        </w:rPr>
        <w:t>Vous analyserez les documents afin de repérer et classer les arguments en deux colonnes.</w:t>
      </w:r>
    </w:p>
    <w:p w14:paraId="2C94F841" w14:textId="77777777" w:rsidR="001743AE" w:rsidRPr="00335AF7" w:rsidRDefault="001743AE" w:rsidP="00C929DA">
      <w:pPr>
        <w:spacing w:after="0"/>
        <w:jc w:val="both"/>
        <w:rPr>
          <w:rFonts w:cstheme="minorHAnsi"/>
          <w:sz w:val="24"/>
          <w:szCs w:val="24"/>
        </w:rPr>
      </w:pPr>
    </w:p>
    <w:p w14:paraId="6AD9BB88" w14:textId="58DE3627" w:rsidR="00510845" w:rsidRPr="00335AF7" w:rsidRDefault="00F450BE" w:rsidP="00283E7C">
      <w:pPr>
        <w:spacing w:after="0"/>
        <w:rPr>
          <w:rFonts w:cstheme="minorHAnsi"/>
          <w:sz w:val="24"/>
          <w:szCs w:val="24"/>
        </w:rPr>
      </w:pPr>
      <w:r>
        <w:rPr>
          <w:rFonts w:cstheme="minorHAnsi"/>
          <w:noProof/>
          <w:sz w:val="24"/>
          <w:szCs w:val="24"/>
        </w:rPr>
        <w:pict w14:anchorId="5FD048F6">
          <v:roundrect id="_x0000_s1028" style="position:absolute;margin-left:168.6pt;margin-top:4.3pt;width:185.4pt;height:24pt;z-index:251656192" arcsize="10923f" fillcolor="#00b050" stroked="f">
            <v:textbox style="mso-next-textbox:#_x0000_s1028">
              <w:txbxContent>
                <w:p w14:paraId="3EADF8D1" w14:textId="5B96D52D" w:rsidR="00510845" w:rsidRPr="00510845" w:rsidRDefault="00510845" w:rsidP="00510845">
                  <w:pPr>
                    <w:spacing w:after="0"/>
                    <w:jc w:val="center"/>
                    <w:rPr>
                      <w:b/>
                      <w:bCs/>
                      <w:color w:val="FFFFFF" w:themeColor="background1"/>
                    </w:rPr>
                  </w:pPr>
                  <w:r>
                    <w:rPr>
                      <w:b/>
                      <w:bCs/>
                      <w:color w:val="FFFFFF" w:themeColor="background1"/>
                    </w:rPr>
                    <w:t>Sujet du débat</w:t>
                  </w:r>
                </w:p>
              </w:txbxContent>
            </v:textbox>
          </v:roundrect>
        </w:pict>
      </w:r>
    </w:p>
    <w:p w14:paraId="0FAB10AB" w14:textId="7F0D8A0B" w:rsidR="00510845" w:rsidRPr="00335AF7" w:rsidRDefault="00F450BE" w:rsidP="00283E7C">
      <w:pPr>
        <w:spacing w:after="0"/>
        <w:rPr>
          <w:rFonts w:cstheme="minorHAnsi"/>
          <w:sz w:val="24"/>
          <w:szCs w:val="24"/>
        </w:rPr>
      </w:pPr>
      <w:r>
        <w:rPr>
          <w:rFonts w:cstheme="minorHAnsi"/>
          <w:noProof/>
          <w:sz w:val="24"/>
          <w:szCs w:val="24"/>
        </w:rPr>
        <w:pict w14:anchorId="4575C4D4">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_x0000_s1032" type="#_x0000_t34" style="position:absolute;margin-left:354pt;margin-top:1.65pt;width:96pt;height:17.4pt;z-index:251660288" o:connectortype="elbow" adj="21735,-210041,-87750" strokecolor="#00b050">
            <v:stroke endarrow="block"/>
          </v:shape>
        </w:pict>
      </w:r>
      <w:r>
        <w:rPr>
          <w:rFonts w:cstheme="minorHAnsi"/>
          <w:noProof/>
          <w:sz w:val="24"/>
          <w:szCs w:val="24"/>
        </w:rPr>
        <w:pict w14:anchorId="5DCEDAF8">
          <v:shape id="_x0000_s1031" type="#_x0000_t34" style="position:absolute;margin-left:91.2pt;margin-top:2.25pt;width:77.4pt;height:13.8pt;rotation:180;flip:y;z-index:251659264" o:connectortype="elbow" adj="21851,265774,-57098" strokecolor="#00b050">
            <v:stroke endarrow="block"/>
          </v:shape>
        </w:pict>
      </w:r>
    </w:p>
    <w:p w14:paraId="2EC9AA0B" w14:textId="69CAD828" w:rsidR="00510845" w:rsidRPr="00335AF7" w:rsidRDefault="00F450BE" w:rsidP="00283E7C">
      <w:pPr>
        <w:spacing w:after="0"/>
        <w:rPr>
          <w:rFonts w:cstheme="minorHAnsi"/>
          <w:sz w:val="24"/>
          <w:szCs w:val="24"/>
        </w:rPr>
      </w:pPr>
      <w:r>
        <w:rPr>
          <w:rFonts w:cstheme="minorHAnsi"/>
          <w:noProof/>
          <w:sz w:val="24"/>
          <w:szCs w:val="24"/>
        </w:rPr>
        <w:pict w14:anchorId="3B2D25EA">
          <v:oval id="_x0000_s1029" style="position:absolute;margin-left:56.4pt;margin-top:3.2pt;width:70.8pt;height:23.4pt;z-index:251657216" fillcolor="#548dd4 [1951]" stroked="f">
            <v:textbox style="mso-next-textbox:#_x0000_s1029">
              <w:txbxContent>
                <w:p w14:paraId="7D708CDF" w14:textId="2EED920E" w:rsidR="00510845" w:rsidRPr="00510845" w:rsidRDefault="00510845" w:rsidP="00510845">
                  <w:pPr>
                    <w:spacing w:after="0"/>
                    <w:jc w:val="center"/>
                    <w:rPr>
                      <w:b/>
                      <w:bCs/>
                    </w:rPr>
                  </w:pPr>
                  <w:r>
                    <w:rPr>
                      <w:b/>
                      <w:bCs/>
                    </w:rPr>
                    <w:t>POUR</w:t>
                  </w:r>
                </w:p>
              </w:txbxContent>
            </v:textbox>
          </v:oval>
        </w:pict>
      </w:r>
      <w:r>
        <w:rPr>
          <w:rFonts w:cstheme="minorHAnsi"/>
          <w:noProof/>
          <w:sz w:val="24"/>
          <w:szCs w:val="24"/>
        </w:rPr>
        <w:pict w14:anchorId="3B2D25EA">
          <v:oval id="_x0000_s1030" style="position:absolute;margin-left:409.2pt;margin-top:5.6pt;width:76.2pt;height:23.4pt;z-index:251658240" fillcolor="red" stroked="f">
            <v:textbox style="mso-next-textbox:#_x0000_s1030">
              <w:txbxContent>
                <w:p w14:paraId="6737893F" w14:textId="0145CBCC" w:rsidR="00510845" w:rsidRPr="00510845" w:rsidRDefault="00510845" w:rsidP="00510845">
                  <w:pPr>
                    <w:spacing w:after="0"/>
                    <w:jc w:val="center"/>
                    <w:rPr>
                      <w:b/>
                      <w:bCs/>
                    </w:rPr>
                  </w:pPr>
                  <w:r>
                    <w:rPr>
                      <w:b/>
                      <w:bCs/>
                    </w:rPr>
                    <w:t>CONTRE</w:t>
                  </w:r>
                </w:p>
              </w:txbxContent>
            </v:textbox>
          </v:oval>
        </w:pict>
      </w:r>
    </w:p>
    <w:p w14:paraId="07D38692" w14:textId="185C9296" w:rsidR="00510845" w:rsidRPr="00335AF7" w:rsidRDefault="00510845" w:rsidP="00283E7C">
      <w:pPr>
        <w:spacing w:after="0"/>
        <w:rPr>
          <w:rFonts w:cstheme="minorHAnsi"/>
          <w:sz w:val="24"/>
          <w:szCs w:val="24"/>
        </w:rPr>
      </w:pPr>
    </w:p>
    <w:p w14:paraId="075C61D6" w14:textId="77B8D941" w:rsidR="00203A62" w:rsidRPr="00335AF7" w:rsidRDefault="00203A62" w:rsidP="00C929DA">
      <w:pPr>
        <w:spacing w:after="0"/>
        <w:jc w:val="both"/>
        <w:rPr>
          <w:rFonts w:cstheme="minorHAnsi"/>
          <w:sz w:val="24"/>
          <w:szCs w:val="24"/>
        </w:rPr>
      </w:pPr>
    </w:p>
    <w:p w14:paraId="137BAF38" w14:textId="097380B0" w:rsidR="00510845" w:rsidRPr="00335AF7" w:rsidRDefault="003D3D69" w:rsidP="00C929DA">
      <w:pPr>
        <w:spacing w:after="0"/>
        <w:jc w:val="both"/>
        <w:rPr>
          <w:rFonts w:cstheme="minorHAnsi"/>
          <w:sz w:val="24"/>
          <w:szCs w:val="24"/>
        </w:rPr>
      </w:pPr>
      <w:r w:rsidRPr="00335AF7">
        <w:rPr>
          <w:rFonts w:cstheme="minorHAnsi"/>
          <w:noProof/>
        </w:rPr>
        <w:drawing>
          <wp:anchor distT="0" distB="0" distL="114300" distR="114300" simplePos="0" relativeHeight="251655168" behindDoc="0" locked="0" layoutInCell="1" allowOverlap="1" wp14:anchorId="7E7B18C9" wp14:editId="22DAE7EC">
            <wp:simplePos x="0" y="0"/>
            <wp:positionH relativeFrom="column">
              <wp:posOffset>2461647</wp:posOffset>
            </wp:positionH>
            <wp:positionV relativeFrom="paragraph">
              <wp:posOffset>9848</wp:posOffset>
            </wp:positionV>
            <wp:extent cx="4091940" cy="1630680"/>
            <wp:effectExtent l="0" t="0" r="0" b="0"/>
            <wp:wrapThrough wrapText="bothSides">
              <wp:wrapPolygon edited="0">
                <wp:start x="0" y="0"/>
                <wp:lineTo x="0" y="21449"/>
                <wp:lineTo x="21520" y="21449"/>
                <wp:lineTo x="21520" y="0"/>
                <wp:lineTo x="0" y="0"/>
              </wp:wrapPolygon>
            </wp:wrapThrough>
            <wp:docPr id="156713272"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091940" cy="1630680"/>
                    </a:xfrm>
                    <a:prstGeom prst="rect">
                      <a:avLst/>
                    </a:prstGeom>
                    <a:noFill/>
                    <a:ln>
                      <a:noFill/>
                    </a:ln>
                  </pic:spPr>
                </pic:pic>
              </a:graphicData>
            </a:graphic>
          </wp:anchor>
        </w:drawing>
      </w:r>
      <w:r w:rsidR="00510845" w:rsidRPr="00335AF7">
        <w:rPr>
          <w:rFonts w:cstheme="minorHAnsi"/>
          <w:sz w:val="24"/>
          <w:szCs w:val="24"/>
        </w:rPr>
        <w:t xml:space="preserve">Vous devez anticiper les contre-arguments et préparer d’éventuelles réponses à ces derniers. </w:t>
      </w:r>
      <w:r w:rsidR="007F7ABE" w:rsidRPr="00335AF7">
        <w:rPr>
          <w:rFonts w:cstheme="minorHAnsi"/>
          <w:sz w:val="24"/>
          <w:szCs w:val="24"/>
        </w:rPr>
        <w:t>Un contre-argument placé</w:t>
      </w:r>
      <w:r w:rsidR="00510845" w:rsidRPr="00335AF7">
        <w:rPr>
          <w:rFonts w:cstheme="minorHAnsi"/>
          <w:sz w:val="24"/>
          <w:szCs w:val="24"/>
        </w:rPr>
        <w:t xml:space="preserve"> du côté POUR peut constituer un argument pour le CONTRE et inversement.</w:t>
      </w:r>
    </w:p>
    <w:p w14:paraId="504D11B7" w14:textId="361A928D" w:rsidR="00510845" w:rsidRPr="00335AF7" w:rsidRDefault="00510845" w:rsidP="007F7ABE">
      <w:pPr>
        <w:spacing w:after="0"/>
        <w:jc w:val="center"/>
        <w:rPr>
          <w:rFonts w:cstheme="minorHAnsi"/>
        </w:rPr>
      </w:pPr>
    </w:p>
    <w:p w14:paraId="40A32B0E" w14:textId="77777777" w:rsidR="00510845" w:rsidRPr="003D3D69" w:rsidRDefault="00510845" w:rsidP="00283E7C">
      <w:pPr>
        <w:spacing w:after="0"/>
        <w:rPr>
          <w:rFonts w:cstheme="minorHAnsi"/>
          <w:sz w:val="24"/>
          <w:szCs w:val="24"/>
        </w:rPr>
      </w:pPr>
    </w:p>
    <w:p w14:paraId="74C1D31E" w14:textId="781435AF" w:rsidR="00510845" w:rsidRPr="003D3D69" w:rsidRDefault="00510845" w:rsidP="00283E7C">
      <w:pPr>
        <w:spacing w:after="0"/>
        <w:rPr>
          <w:rFonts w:cstheme="minorHAnsi"/>
          <w:sz w:val="24"/>
          <w:szCs w:val="24"/>
        </w:rPr>
      </w:pPr>
    </w:p>
    <w:p w14:paraId="21F2306B" w14:textId="333EEA17" w:rsidR="00283E7C" w:rsidRPr="003D3D69" w:rsidRDefault="00510845" w:rsidP="00283E7C">
      <w:pPr>
        <w:pStyle w:val="Paragraphedeliste"/>
        <w:numPr>
          <w:ilvl w:val="0"/>
          <w:numId w:val="1"/>
        </w:numPr>
        <w:tabs>
          <w:tab w:val="left" w:pos="426"/>
        </w:tabs>
        <w:spacing w:after="0"/>
        <w:ind w:left="0" w:firstLine="0"/>
        <w:rPr>
          <w:rFonts w:cstheme="minorHAnsi"/>
          <w:b/>
          <w:sz w:val="32"/>
          <w:szCs w:val="28"/>
          <w:u w:val="single"/>
        </w:rPr>
      </w:pPr>
      <w:r w:rsidRPr="003D3D69">
        <w:rPr>
          <w:rFonts w:cstheme="minorHAnsi"/>
          <w:b/>
          <w:sz w:val="32"/>
          <w:szCs w:val="28"/>
          <w:u w:val="single"/>
        </w:rPr>
        <w:t>Débattre en classe</w:t>
      </w:r>
    </w:p>
    <w:p w14:paraId="267D6B0B" w14:textId="77777777" w:rsidR="00A91625" w:rsidRPr="003D3D69" w:rsidRDefault="00A91625" w:rsidP="00C929DA">
      <w:pPr>
        <w:spacing w:after="0"/>
        <w:jc w:val="both"/>
        <w:rPr>
          <w:rFonts w:cstheme="minorHAnsi"/>
          <w:b/>
          <w:sz w:val="16"/>
          <w:szCs w:val="16"/>
        </w:rPr>
      </w:pPr>
    </w:p>
    <w:p w14:paraId="5CE27AA3" w14:textId="36D15185" w:rsidR="002E32D8" w:rsidRPr="00335AF7" w:rsidRDefault="002E32D8" w:rsidP="00C929DA">
      <w:pPr>
        <w:spacing w:after="0"/>
        <w:jc w:val="both"/>
        <w:rPr>
          <w:rFonts w:cstheme="minorHAnsi"/>
          <w:bCs/>
          <w:sz w:val="24"/>
          <w:szCs w:val="24"/>
        </w:rPr>
      </w:pPr>
      <w:r w:rsidRPr="00335AF7">
        <w:rPr>
          <w:rFonts w:cstheme="minorHAnsi"/>
          <w:bCs/>
          <w:sz w:val="24"/>
          <w:szCs w:val="24"/>
        </w:rPr>
        <w:t>Vous allez être répartis en 3 groupes : 1 groupe pour le jury et 2 groupes défendant chacun l’une des thèses préparées.</w:t>
      </w:r>
    </w:p>
    <w:p w14:paraId="69975FFA" w14:textId="4422612B" w:rsidR="00203A62" w:rsidRPr="00335AF7" w:rsidRDefault="00203A62" w:rsidP="003D3D69">
      <w:pPr>
        <w:spacing w:after="0"/>
        <w:jc w:val="center"/>
        <w:rPr>
          <w:rFonts w:cstheme="minorHAnsi"/>
          <w:bCs/>
          <w:sz w:val="24"/>
          <w:szCs w:val="24"/>
        </w:rPr>
      </w:pPr>
      <w:r w:rsidRPr="00335AF7">
        <w:rPr>
          <w:rFonts w:cstheme="minorHAnsi"/>
          <w:bCs/>
          <w:noProof/>
          <w:sz w:val="24"/>
          <w:szCs w:val="24"/>
        </w:rPr>
        <w:drawing>
          <wp:inline distT="0" distB="0" distL="0" distR="0" wp14:anchorId="79C8BC67" wp14:editId="5B25AEEF">
            <wp:extent cx="5311140" cy="3079364"/>
            <wp:effectExtent l="0" t="0" r="0" b="0"/>
            <wp:docPr id="1699688401"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315456" cy="3081866"/>
                    </a:xfrm>
                    <a:prstGeom prst="rect">
                      <a:avLst/>
                    </a:prstGeom>
                    <a:noFill/>
                    <a:ln>
                      <a:noFill/>
                    </a:ln>
                  </pic:spPr>
                </pic:pic>
              </a:graphicData>
            </a:graphic>
          </wp:inline>
        </w:drawing>
      </w:r>
    </w:p>
    <w:p w14:paraId="5087F914" w14:textId="77777777" w:rsidR="00335AF7" w:rsidRDefault="00335AF7">
      <w:pPr>
        <w:rPr>
          <w:rFonts w:cstheme="minorHAnsi"/>
          <w:bCs/>
          <w:sz w:val="24"/>
          <w:szCs w:val="24"/>
        </w:rPr>
      </w:pPr>
      <w:r>
        <w:rPr>
          <w:rFonts w:cstheme="minorHAnsi"/>
          <w:bCs/>
          <w:sz w:val="24"/>
          <w:szCs w:val="24"/>
        </w:rPr>
        <w:br w:type="page"/>
      </w:r>
    </w:p>
    <w:p w14:paraId="2BB4E0E0" w14:textId="4ABD057A" w:rsidR="00C929DA" w:rsidRPr="00335AF7" w:rsidRDefault="00C929DA" w:rsidP="00C929DA">
      <w:pPr>
        <w:spacing w:after="0"/>
        <w:jc w:val="both"/>
        <w:rPr>
          <w:rFonts w:cstheme="minorHAnsi"/>
          <w:bCs/>
          <w:sz w:val="24"/>
          <w:szCs w:val="24"/>
        </w:rPr>
      </w:pPr>
      <w:r w:rsidRPr="00335AF7">
        <w:rPr>
          <w:rFonts w:cstheme="minorHAnsi"/>
          <w:bCs/>
          <w:sz w:val="24"/>
          <w:szCs w:val="24"/>
        </w:rPr>
        <w:lastRenderedPageBreak/>
        <w:t>Vous devrez respecter les règles suivantes :</w:t>
      </w:r>
    </w:p>
    <w:p w14:paraId="39CB7739" w14:textId="561EE893" w:rsidR="00C929DA" w:rsidRPr="00335AF7" w:rsidRDefault="00C929DA" w:rsidP="00C929DA">
      <w:pPr>
        <w:pStyle w:val="Paragraphedeliste"/>
        <w:numPr>
          <w:ilvl w:val="0"/>
          <w:numId w:val="4"/>
        </w:numPr>
        <w:spacing w:after="0"/>
        <w:jc w:val="both"/>
        <w:rPr>
          <w:rFonts w:cstheme="minorHAnsi"/>
          <w:bCs/>
          <w:sz w:val="24"/>
          <w:szCs w:val="24"/>
        </w:rPr>
      </w:pPr>
      <w:r w:rsidRPr="00335AF7">
        <w:rPr>
          <w:rFonts w:cstheme="minorHAnsi"/>
          <w:bCs/>
          <w:sz w:val="24"/>
          <w:szCs w:val="24"/>
        </w:rPr>
        <w:t>Chaque équipe est chargée de défendre une position lors du débat</w:t>
      </w:r>
      <w:r w:rsidR="00343DF9" w:rsidRPr="00335AF7">
        <w:rPr>
          <w:rFonts w:cstheme="minorHAnsi"/>
          <w:bCs/>
          <w:sz w:val="24"/>
          <w:szCs w:val="24"/>
        </w:rPr>
        <w:t>.</w:t>
      </w:r>
    </w:p>
    <w:p w14:paraId="5E1C9F35" w14:textId="7ACD2B7C" w:rsidR="00C929DA" w:rsidRPr="00335AF7" w:rsidRDefault="00C929DA" w:rsidP="00C929DA">
      <w:pPr>
        <w:pStyle w:val="Paragraphedeliste"/>
        <w:numPr>
          <w:ilvl w:val="0"/>
          <w:numId w:val="4"/>
        </w:numPr>
        <w:spacing w:after="0"/>
        <w:jc w:val="both"/>
        <w:rPr>
          <w:rFonts w:cstheme="minorHAnsi"/>
          <w:bCs/>
          <w:sz w:val="24"/>
          <w:szCs w:val="24"/>
        </w:rPr>
      </w:pPr>
      <w:r w:rsidRPr="00335AF7">
        <w:rPr>
          <w:rFonts w:cstheme="minorHAnsi"/>
          <w:bCs/>
          <w:sz w:val="24"/>
          <w:szCs w:val="24"/>
        </w:rPr>
        <w:t>3 rounds de débat de 5 minutes chacun avec un arrêt de 3 minutes entre chaque round</w:t>
      </w:r>
      <w:r w:rsidR="00343DF9" w:rsidRPr="00335AF7">
        <w:rPr>
          <w:rFonts w:cstheme="minorHAnsi"/>
          <w:bCs/>
          <w:sz w:val="24"/>
          <w:szCs w:val="24"/>
        </w:rPr>
        <w:t>.</w:t>
      </w:r>
    </w:p>
    <w:p w14:paraId="751C0166" w14:textId="28395C81" w:rsidR="00C929DA" w:rsidRPr="00335AF7" w:rsidRDefault="00C929DA" w:rsidP="00C929DA">
      <w:pPr>
        <w:pStyle w:val="Paragraphedeliste"/>
        <w:numPr>
          <w:ilvl w:val="0"/>
          <w:numId w:val="4"/>
        </w:numPr>
        <w:spacing w:after="0"/>
        <w:jc w:val="both"/>
        <w:rPr>
          <w:rFonts w:cstheme="minorHAnsi"/>
          <w:bCs/>
          <w:sz w:val="24"/>
          <w:szCs w:val="24"/>
        </w:rPr>
      </w:pPr>
      <w:r w:rsidRPr="00335AF7">
        <w:rPr>
          <w:rFonts w:cstheme="minorHAnsi"/>
          <w:bCs/>
          <w:sz w:val="24"/>
          <w:szCs w:val="24"/>
        </w:rPr>
        <w:t xml:space="preserve">Chaque équipe se choisit </w:t>
      </w:r>
      <w:r w:rsidR="00F15544">
        <w:rPr>
          <w:rFonts w:cstheme="minorHAnsi"/>
          <w:bCs/>
          <w:sz w:val="24"/>
          <w:szCs w:val="24"/>
        </w:rPr>
        <w:t>deux</w:t>
      </w:r>
      <w:r w:rsidRPr="00335AF7">
        <w:rPr>
          <w:rFonts w:cstheme="minorHAnsi"/>
          <w:bCs/>
          <w:sz w:val="24"/>
          <w:szCs w:val="24"/>
        </w:rPr>
        <w:t xml:space="preserve"> champions : le débat a donc lieu entre </w:t>
      </w:r>
      <w:r w:rsidR="00F15544">
        <w:rPr>
          <w:rFonts w:cstheme="minorHAnsi"/>
          <w:bCs/>
          <w:sz w:val="24"/>
          <w:szCs w:val="24"/>
        </w:rPr>
        <w:t>quatre</w:t>
      </w:r>
      <w:r w:rsidRPr="00335AF7">
        <w:rPr>
          <w:rFonts w:cstheme="minorHAnsi"/>
          <w:bCs/>
          <w:sz w:val="24"/>
          <w:szCs w:val="24"/>
        </w:rPr>
        <w:t xml:space="preserve"> élèves</w:t>
      </w:r>
      <w:r w:rsidR="00343DF9" w:rsidRPr="00335AF7">
        <w:rPr>
          <w:rFonts w:cstheme="minorHAnsi"/>
          <w:bCs/>
          <w:sz w:val="24"/>
          <w:szCs w:val="24"/>
        </w:rPr>
        <w:t>.</w:t>
      </w:r>
    </w:p>
    <w:p w14:paraId="2F9DB399" w14:textId="4C2F6308" w:rsidR="00C929DA" w:rsidRPr="00335AF7" w:rsidRDefault="00C929DA" w:rsidP="00C929DA">
      <w:pPr>
        <w:pStyle w:val="Paragraphedeliste"/>
        <w:numPr>
          <w:ilvl w:val="0"/>
          <w:numId w:val="4"/>
        </w:numPr>
        <w:spacing w:after="0"/>
        <w:jc w:val="both"/>
        <w:rPr>
          <w:rFonts w:cstheme="minorHAnsi"/>
          <w:bCs/>
          <w:sz w:val="24"/>
          <w:szCs w:val="24"/>
        </w:rPr>
      </w:pPr>
      <w:r w:rsidRPr="00335AF7">
        <w:rPr>
          <w:rFonts w:cstheme="minorHAnsi"/>
          <w:bCs/>
          <w:sz w:val="24"/>
          <w:szCs w:val="24"/>
        </w:rPr>
        <w:t>Les équipiers scrutent le débat afin de conseiller le champion lors des coupures entre chaque round</w:t>
      </w:r>
      <w:r w:rsidR="00343DF9" w:rsidRPr="00335AF7">
        <w:rPr>
          <w:rFonts w:cstheme="minorHAnsi"/>
          <w:bCs/>
          <w:sz w:val="24"/>
          <w:szCs w:val="24"/>
        </w:rPr>
        <w:t xml:space="preserve">. </w:t>
      </w:r>
    </w:p>
    <w:p w14:paraId="481E9B9B" w14:textId="7815E171" w:rsidR="00343DF9" w:rsidRPr="00335AF7" w:rsidRDefault="00343DF9" w:rsidP="00343DF9">
      <w:pPr>
        <w:pStyle w:val="Paragraphedeliste"/>
        <w:numPr>
          <w:ilvl w:val="0"/>
          <w:numId w:val="4"/>
        </w:numPr>
        <w:spacing w:after="0"/>
        <w:jc w:val="both"/>
        <w:rPr>
          <w:rFonts w:cstheme="minorHAnsi"/>
          <w:bCs/>
          <w:sz w:val="24"/>
          <w:szCs w:val="24"/>
        </w:rPr>
      </w:pPr>
      <w:r w:rsidRPr="00335AF7">
        <w:rPr>
          <w:rFonts w:cstheme="minorHAnsi"/>
          <w:bCs/>
          <w:sz w:val="24"/>
          <w:szCs w:val="24"/>
        </w:rPr>
        <w:t>Pendant les rounds, l’équipe doit rester silencieuse et n’a pas le droit de communiquer avec ses champions.</w:t>
      </w:r>
    </w:p>
    <w:p w14:paraId="179A7053" w14:textId="606854B5" w:rsidR="00C929DA" w:rsidRPr="00335AF7" w:rsidRDefault="00C929DA" w:rsidP="00C929DA">
      <w:pPr>
        <w:pStyle w:val="Paragraphedeliste"/>
        <w:numPr>
          <w:ilvl w:val="0"/>
          <w:numId w:val="4"/>
        </w:numPr>
        <w:spacing w:after="0"/>
        <w:jc w:val="both"/>
        <w:rPr>
          <w:rFonts w:cstheme="minorHAnsi"/>
          <w:bCs/>
          <w:sz w:val="24"/>
          <w:szCs w:val="24"/>
        </w:rPr>
      </w:pPr>
      <w:r w:rsidRPr="00335AF7">
        <w:rPr>
          <w:rFonts w:cstheme="minorHAnsi"/>
          <w:bCs/>
          <w:sz w:val="24"/>
          <w:szCs w:val="24"/>
        </w:rPr>
        <w:t xml:space="preserve">Au début de chaque round, </w:t>
      </w:r>
      <w:r w:rsidR="00F15544">
        <w:rPr>
          <w:rFonts w:cstheme="minorHAnsi"/>
          <w:bCs/>
          <w:sz w:val="24"/>
          <w:szCs w:val="24"/>
        </w:rPr>
        <w:t>un</w:t>
      </w:r>
      <w:r w:rsidRPr="00335AF7">
        <w:rPr>
          <w:rFonts w:cstheme="minorHAnsi"/>
          <w:bCs/>
          <w:sz w:val="24"/>
          <w:szCs w:val="24"/>
        </w:rPr>
        <w:t xml:space="preserve"> ou les </w:t>
      </w:r>
      <w:r w:rsidR="00F15544">
        <w:rPr>
          <w:rFonts w:cstheme="minorHAnsi"/>
          <w:bCs/>
          <w:sz w:val="24"/>
          <w:szCs w:val="24"/>
        </w:rPr>
        <w:t>deux</w:t>
      </w:r>
      <w:r w:rsidRPr="00335AF7">
        <w:rPr>
          <w:rFonts w:cstheme="minorHAnsi"/>
          <w:bCs/>
          <w:sz w:val="24"/>
          <w:szCs w:val="24"/>
        </w:rPr>
        <w:t xml:space="preserve"> champions peuvent être remplacés par un </w:t>
      </w:r>
      <w:r w:rsidR="00343DF9" w:rsidRPr="00335AF7">
        <w:rPr>
          <w:rFonts w:cstheme="minorHAnsi"/>
          <w:bCs/>
          <w:sz w:val="24"/>
          <w:szCs w:val="24"/>
        </w:rPr>
        <w:t>équipier</w:t>
      </w:r>
      <w:r w:rsidRPr="00335AF7">
        <w:rPr>
          <w:rFonts w:cstheme="minorHAnsi"/>
          <w:bCs/>
          <w:sz w:val="24"/>
          <w:szCs w:val="24"/>
        </w:rPr>
        <w:t xml:space="preserve"> de leur équipe</w:t>
      </w:r>
      <w:r w:rsidR="00343DF9" w:rsidRPr="00335AF7">
        <w:rPr>
          <w:rFonts w:cstheme="minorHAnsi"/>
          <w:bCs/>
          <w:sz w:val="24"/>
          <w:szCs w:val="24"/>
        </w:rPr>
        <w:t>.</w:t>
      </w:r>
    </w:p>
    <w:p w14:paraId="17634EF5" w14:textId="7A3C45B7" w:rsidR="00335AF7" w:rsidRPr="00335AF7" w:rsidRDefault="00335AF7" w:rsidP="00C929DA">
      <w:pPr>
        <w:pStyle w:val="Paragraphedeliste"/>
        <w:numPr>
          <w:ilvl w:val="0"/>
          <w:numId w:val="4"/>
        </w:numPr>
        <w:spacing w:after="0"/>
        <w:jc w:val="both"/>
        <w:rPr>
          <w:rFonts w:cstheme="minorHAnsi"/>
          <w:bCs/>
          <w:sz w:val="24"/>
          <w:szCs w:val="24"/>
        </w:rPr>
      </w:pPr>
      <w:r w:rsidRPr="00335AF7">
        <w:rPr>
          <w:rFonts w:cstheme="minorHAnsi"/>
          <w:bCs/>
          <w:sz w:val="24"/>
          <w:szCs w:val="24"/>
        </w:rPr>
        <w:t>Le jury se choisit un président qui devra lancer le débat au début de chaque round.</w:t>
      </w:r>
    </w:p>
    <w:p w14:paraId="6E853E71" w14:textId="272CC169" w:rsidR="00C929DA" w:rsidRPr="00335AF7" w:rsidRDefault="00C929DA" w:rsidP="004C0436">
      <w:pPr>
        <w:pStyle w:val="Paragraphedeliste"/>
        <w:numPr>
          <w:ilvl w:val="0"/>
          <w:numId w:val="4"/>
        </w:numPr>
        <w:spacing w:after="0"/>
        <w:jc w:val="both"/>
        <w:rPr>
          <w:rFonts w:cstheme="minorHAnsi"/>
          <w:bCs/>
          <w:sz w:val="24"/>
          <w:szCs w:val="24"/>
        </w:rPr>
      </w:pPr>
      <w:r w:rsidRPr="00335AF7">
        <w:rPr>
          <w:rFonts w:cstheme="minorHAnsi"/>
          <w:bCs/>
          <w:sz w:val="24"/>
          <w:szCs w:val="24"/>
        </w:rPr>
        <w:t xml:space="preserve">Le président du jury pourra être amené </w:t>
      </w:r>
      <w:r w:rsidR="00343DF9" w:rsidRPr="00335AF7">
        <w:rPr>
          <w:rFonts w:cstheme="minorHAnsi"/>
          <w:bCs/>
          <w:sz w:val="24"/>
          <w:szCs w:val="24"/>
        </w:rPr>
        <w:t xml:space="preserve">à donner un carton jaune à </w:t>
      </w:r>
      <w:r w:rsidRPr="00335AF7">
        <w:rPr>
          <w:rFonts w:cstheme="minorHAnsi"/>
          <w:bCs/>
          <w:sz w:val="24"/>
          <w:szCs w:val="24"/>
        </w:rPr>
        <w:t>un champion</w:t>
      </w:r>
      <w:r w:rsidR="00343DF9" w:rsidRPr="00335AF7">
        <w:rPr>
          <w:rFonts w:cstheme="minorHAnsi"/>
          <w:bCs/>
          <w:sz w:val="24"/>
          <w:szCs w:val="24"/>
        </w:rPr>
        <w:t xml:space="preserve"> ou à un équipier en cas de non-respect des règles du débat ou des autres participants. Si ce comportement persiste, le champion ou l’équipier sera disqualifié et quittera le débat. </w:t>
      </w:r>
    </w:p>
    <w:p w14:paraId="1BEC19D4" w14:textId="77777777" w:rsidR="00510845" w:rsidRDefault="00510845" w:rsidP="00283E7C">
      <w:pPr>
        <w:spacing w:after="0"/>
        <w:rPr>
          <w:rFonts w:cstheme="minorHAnsi"/>
          <w:sz w:val="28"/>
          <w:szCs w:val="28"/>
        </w:rPr>
      </w:pPr>
    </w:p>
    <w:p w14:paraId="34B50A09" w14:textId="77777777" w:rsidR="00335AF7" w:rsidRPr="003D3D69" w:rsidRDefault="00335AF7" w:rsidP="00283E7C">
      <w:pPr>
        <w:spacing w:after="0"/>
        <w:rPr>
          <w:rFonts w:cstheme="minorHAnsi"/>
          <w:sz w:val="28"/>
          <w:szCs w:val="28"/>
        </w:rPr>
      </w:pPr>
    </w:p>
    <w:p w14:paraId="348039F9" w14:textId="3B2A9C26" w:rsidR="00283E7C" w:rsidRPr="003D3D69" w:rsidRDefault="00510845" w:rsidP="00510845">
      <w:pPr>
        <w:pStyle w:val="Paragraphedeliste"/>
        <w:numPr>
          <w:ilvl w:val="0"/>
          <w:numId w:val="1"/>
        </w:numPr>
        <w:tabs>
          <w:tab w:val="left" w:pos="426"/>
        </w:tabs>
        <w:spacing w:after="0"/>
        <w:ind w:left="0" w:firstLine="0"/>
        <w:rPr>
          <w:rFonts w:cstheme="minorHAnsi"/>
          <w:b/>
          <w:sz w:val="32"/>
          <w:szCs w:val="28"/>
          <w:u w:val="single"/>
        </w:rPr>
      </w:pPr>
      <w:r w:rsidRPr="003D3D69">
        <w:rPr>
          <w:rFonts w:cstheme="minorHAnsi"/>
          <w:b/>
          <w:sz w:val="32"/>
          <w:szCs w:val="28"/>
          <w:u w:val="single"/>
        </w:rPr>
        <w:t>Evaluation du débat</w:t>
      </w:r>
    </w:p>
    <w:p w14:paraId="5D7ADDE2" w14:textId="77777777" w:rsidR="00C929DA" w:rsidRPr="003D3D69" w:rsidRDefault="00C929DA" w:rsidP="00C929DA">
      <w:pPr>
        <w:tabs>
          <w:tab w:val="left" w:pos="426"/>
        </w:tabs>
        <w:spacing w:after="0"/>
        <w:rPr>
          <w:rFonts w:cstheme="minorHAnsi"/>
          <w:bCs/>
          <w:sz w:val="16"/>
          <w:szCs w:val="16"/>
        </w:rPr>
      </w:pPr>
    </w:p>
    <w:p w14:paraId="3FDB5889" w14:textId="261B8005" w:rsidR="00C929DA" w:rsidRPr="00335AF7" w:rsidRDefault="00C929DA" w:rsidP="00C929DA">
      <w:pPr>
        <w:tabs>
          <w:tab w:val="left" w:pos="426"/>
        </w:tabs>
        <w:spacing w:after="0"/>
        <w:jc w:val="both"/>
        <w:rPr>
          <w:rFonts w:cstheme="minorHAnsi"/>
          <w:bCs/>
          <w:sz w:val="24"/>
          <w:szCs w:val="24"/>
        </w:rPr>
      </w:pPr>
      <w:r w:rsidRPr="00335AF7">
        <w:rPr>
          <w:rFonts w:cstheme="minorHAnsi"/>
          <w:bCs/>
          <w:sz w:val="24"/>
          <w:szCs w:val="24"/>
        </w:rPr>
        <w:t xml:space="preserve">Chaque membre du jury évalue </w:t>
      </w:r>
      <w:r w:rsidR="00335AF7" w:rsidRPr="00335AF7">
        <w:rPr>
          <w:rFonts w:cstheme="minorHAnsi"/>
          <w:bCs/>
          <w:sz w:val="24"/>
          <w:szCs w:val="24"/>
        </w:rPr>
        <w:t xml:space="preserve">à partir </w:t>
      </w:r>
      <w:r w:rsidRPr="00335AF7">
        <w:rPr>
          <w:rFonts w:cstheme="minorHAnsi"/>
          <w:bCs/>
          <w:sz w:val="24"/>
          <w:szCs w:val="24"/>
        </w:rPr>
        <w:t xml:space="preserve">de la grille d’évaluation </w:t>
      </w:r>
      <w:r w:rsidR="00335AF7" w:rsidRPr="00335AF7">
        <w:rPr>
          <w:rFonts w:cstheme="minorHAnsi"/>
          <w:bCs/>
          <w:sz w:val="24"/>
          <w:szCs w:val="24"/>
        </w:rPr>
        <w:t>suivante l’une des deux équipes</w:t>
      </w:r>
      <w:r w:rsidR="00980396" w:rsidRPr="00335AF7">
        <w:rPr>
          <w:rFonts w:cstheme="minorHAnsi"/>
          <w:bCs/>
          <w:sz w:val="24"/>
          <w:szCs w:val="24"/>
        </w:rPr>
        <w:t>.</w:t>
      </w:r>
    </w:p>
    <w:p w14:paraId="54D029F9" w14:textId="32BBDB01" w:rsidR="00203A62" w:rsidRPr="00335AF7" w:rsidRDefault="00335AF7" w:rsidP="00C929DA">
      <w:pPr>
        <w:tabs>
          <w:tab w:val="left" w:pos="426"/>
        </w:tabs>
        <w:spacing w:after="0"/>
        <w:jc w:val="both"/>
        <w:rPr>
          <w:rFonts w:cstheme="minorHAnsi"/>
          <w:bCs/>
          <w:sz w:val="24"/>
          <w:szCs w:val="24"/>
        </w:rPr>
      </w:pPr>
      <w:r w:rsidRPr="00335AF7">
        <w:rPr>
          <w:rFonts w:cstheme="minorHAnsi"/>
          <w:bCs/>
          <w:sz w:val="24"/>
          <w:szCs w:val="24"/>
        </w:rPr>
        <w:t xml:space="preserve">Chaque critère </w:t>
      </w:r>
      <w:r w:rsidRPr="00335AF7">
        <w:rPr>
          <w:rFonts w:cstheme="minorHAnsi"/>
          <w:b/>
          <w:sz w:val="24"/>
          <w:szCs w:val="24"/>
          <w:shd w:val="clear" w:color="auto" w:fill="00FE73"/>
        </w:rPr>
        <w:t>+</w:t>
      </w:r>
      <w:r w:rsidRPr="00335AF7">
        <w:rPr>
          <w:rFonts w:cstheme="minorHAnsi"/>
          <w:bCs/>
          <w:sz w:val="24"/>
          <w:szCs w:val="24"/>
        </w:rPr>
        <w:t xml:space="preserve"> peut rapporter de 1 à 3 points tandis que chaque critère </w:t>
      </w:r>
      <w:r w:rsidRPr="00335AF7">
        <w:rPr>
          <w:rFonts w:cstheme="minorHAnsi"/>
          <w:b/>
          <w:sz w:val="24"/>
          <w:szCs w:val="24"/>
          <w:shd w:val="clear" w:color="auto" w:fill="FF4B4B"/>
        </w:rPr>
        <w:t>–</w:t>
      </w:r>
      <w:r w:rsidRPr="00335AF7">
        <w:rPr>
          <w:rFonts w:cstheme="minorHAnsi"/>
          <w:bCs/>
          <w:sz w:val="24"/>
          <w:szCs w:val="24"/>
        </w:rPr>
        <w:t xml:space="preserve"> peut faire perdre de 1 à 3 points.</w:t>
      </w:r>
    </w:p>
    <w:p w14:paraId="4A0396A3" w14:textId="688DC791" w:rsidR="00203A62" w:rsidRDefault="00335AF7" w:rsidP="00335AF7">
      <w:pPr>
        <w:tabs>
          <w:tab w:val="left" w:pos="426"/>
        </w:tabs>
        <w:spacing w:after="0"/>
        <w:jc w:val="center"/>
        <w:rPr>
          <w:rFonts w:cstheme="minorHAnsi"/>
          <w:bCs/>
          <w:sz w:val="28"/>
          <w:szCs w:val="28"/>
        </w:rPr>
      </w:pPr>
      <w:r w:rsidRPr="00335AF7">
        <w:rPr>
          <w:rFonts w:cstheme="minorHAnsi"/>
          <w:bCs/>
          <w:noProof/>
          <w:sz w:val="28"/>
          <w:szCs w:val="28"/>
        </w:rPr>
        <w:drawing>
          <wp:inline distT="0" distB="0" distL="0" distR="0" wp14:anchorId="222DF95E" wp14:editId="5A5F1872">
            <wp:extent cx="6294120" cy="3618196"/>
            <wp:effectExtent l="0" t="0" r="0" b="0"/>
            <wp:docPr id="147411221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4112211" name=""/>
                    <pic:cNvPicPr/>
                  </pic:nvPicPr>
                  <pic:blipFill rotWithShape="1">
                    <a:blip r:embed="rId9"/>
                    <a:srcRect l="573" t="1833" r="1"/>
                    <a:stretch/>
                  </pic:blipFill>
                  <pic:spPr bwMode="auto">
                    <a:xfrm>
                      <a:off x="0" y="0"/>
                      <a:ext cx="6317486" cy="3631628"/>
                    </a:xfrm>
                    <a:prstGeom prst="rect">
                      <a:avLst/>
                    </a:prstGeom>
                    <a:ln>
                      <a:noFill/>
                    </a:ln>
                    <a:extLst>
                      <a:ext uri="{53640926-AAD7-44D8-BBD7-CCE9431645EC}">
                        <a14:shadowObscured xmlns:a14="http://schemas.microsoft.com/office/drawing/2010/main"/>
                      </a:ext>
                    </a:extLst>
                  </pic:spPr>
                </pic:pic>
              </a:graphicData>
            </a:graphic>
          </wp:inline>
        </w:drawing>
      </w:r>
    </w:p>
    <w:p w14:paraId="202D9C72" w14:textId="77777777" w:rsidR="00335AF7" w:rsidRPr="00335AF7" w:rsidRDefault="00335AF7" w:rsidP="00335AF7">
      <w:pPr>
        <w:tabs>
          <w:tab w:val="left" w:pos="426"/>
        </w:tabs>
        <w:spacing w:after="0"/>
        <w:jc w:val="center"/>
        <w:rPr>
          <w:rFonts w:cstheme="minorHAnsi"/>
          <w:bCs/>
        </w:rPr>
      </w:pPr>
    </w:p>
    <w:p w14:paraId="41E61629" w14:textId="403DADA6" w:rsidR="003D3D69" w:rsidRPr="00335AF7" w:rsidRDefault="00335AF7" w:rsidP="00C929DA">
      <w:pPr>
        <w:tabs>
          <w:tab w:val="left" w:pos="426"/>
        </w:tabs>
        <w:spacing w:after="0"/>
        <w:jc w:val="both"/>
        <w:rPr>
          <w:rFonts w:cstheme="minorHAnsi"/>
          <w:bCs/>
          <w:sz w:val="24"/>
          <w:szCs w:val="24"/>
        </w:rPr>
      </w:pPr>
      <w:r w:rsidRPr="00335AF7">
        <w:rPr>
          <w:rFonts w:cstheme="minorHAnsi"/>
          <w:bCs/>
          <w:sz w:val="24"/>
          <w:szCs w:val="24"/>
        </w:rPr>
        <w:t>Entre chaque round, les membres du jury évaluant la même équipe peuvent échanger sur leur perception de l’équipe.</w:t>
      </w:r>
    </w:p>
    <w:p w14:paraId="28EA2FDC" w14:textId="3D59D7E5" w:rsidR="00C929DA" w:rsidRPr="00335AF7" w:rsidRDefault="00C929DA" w:rsidP="00C929DA">
      <w:pPr>
        <w:tabs>
          <w:tab w:val="left" w:pos="426"/>
        </w:tabs>
        <w:spacing w:after="0"/>
        <w:jc w:val="both"/>
        <w:rPr>
          <w:rFonts w:cstheme="minorHAnsi"/>
          <w:bCs/>
          <w:sz w:val="24"/>
          <w:szCs w:val="24"/>
        </w:rPr>
      </w:pPr>
      <w:r w:rsidRPr="00335AF7">
        <w:rPr>
          <w:rFonts w:cstheme="minorHAnsi"/>
          <w:bCs/>
          <w:sz w:val="24"/>
          <w:szCs w:val="24"/>
        </w:rPr>
        <w:t xml:space="preserve">A la fin du débat, le président du jury centralise </w:t>
      </w:r>
      <w:r w:rsidR="00335AF7" w:rsidRPr="00335AF7">
        <w:rPr>
          <w:rFonts w:cstheme="minorHAnsi"/>
          <w:bCs/>
          <w:sz w:val="24"/>
          <w:szCs w:val="24"/>
        </w:rPr>
        <w:t>les grilles d’évaluation</w:t>
      </w:r>
      <w:r w:rsidRPr="00335AF7">
        <w:rPr>
          <w:rFonts w:cstheme="minorHAnsi"/>
          <w:bCs/>
          <w:sz w:val="24"/>
          <w:szCs w:val="24"/>
        </w:rPr>
        <w:t xml:space="preserve"> et fait le solde des points et pénalités. Il déclare quelle équipe a gagné.</w:t>
      </w:r>
    </w:p>
    <w:p w14:paraId="369880F1" w14:textId="3CC4CCB1" w:rsidR="00335AF7" w:rsidRDefault="00C929DA" w:rsidP="00335AF7">
      <w:pPr>
        <w:tabs>
          <w:tab w:val="left" w:pos="426"/>
        </w:tabs>
        <w:spacing w:after="0"/>
        <w:jc w:val="both"/>
        <w:rPr>
          <w:rFonts w:cstheme="minorHAnsi"/>
          <w:b/>
          <w:sz w:val="32"/>
          <w:szCs w:val="32"/>
        </w:rPr>
      </w:pPr>
      <w:r w:rsidRPr="00335AF7">
        <w:rPr>
          <w:rFonts w:cstheme="minorHAnsi"/>
          <w:bCs/>
          <w:sz w:val="24"/>
          <w:szCs w:val="24"/>
        </w:rPr>
        <w:t>Le jury fait un bref bilan de son évaluation du débat : il énonce les points forts et les points faibles de chaque équipe</w:t>
      </w:r>
      <w:r w:rsidR="00335AF7">
        <w:rPr>
          <w:rFonts w:cstheme="minorHAnsi"/>
          <w:bCs/>
          <w:sz w:val="24"/>
          <w:szCs w:val="24"/>
        </w:rPr>
        <w:t>.</w:t>
      </w:r>
      <w:r w:rsidR="00335AF7">
        <w:rPr>
          <w:rFonts w:cstheme="minorHAnsi"/>
          <w:b/>
          <w:sz w:val="32"/>
          <w:szCs w:val="32"/>
        </w:rPr>
        <w:br w:type="page"/>
      </w:r>
    </w:p>
    <w:p w14:paraId="68C65BBB" w14:textId="346F8279" w:rsidR="008A382E" w:rsidRPr="00EE3A61" w:rsidRDefault="00AD2B26" w:rsidP="008A382E">
      <w:pPr>
        <w:pBdr>
          <w:bottom w:val="single" w:sz="4" w:space="1" w:color="auto"/>
        </w:pBdr>
        <w:tabs>
          <w:tab w:val="left" w:pos="426"/>
        </w:tabs>
        <w:spacing w:after="0"/>
        <w:jc w:val="center"/>
        <w:rPr>
          <w:rFonts w:cstheme="minorHAnsi"/>
          <w:b/>
          <w:sz w:val="32"/>
          <w:szCs w:val="32"/>
        </w:rPr>
      </w:pPr>
      <w:r>
        <w:rPr>
          <w:rFonts w:cstheme="minorHAnsi"/>
          <w:b/>
          <w:sz w:val="32"/>
          <w:szCs w:val="32"/>
        </w:rPr>
        <w:lastRenderedPageBreak/>
        <w:t xml:space="preserve">Dossier </w:t>
      </w:r>
      <w:r w:rsidR="001743AE">
        <w:rPr>
          <w:rFonts w:cstheme="minorHAnsi"/>
          <w:b/>
          <w:sz w:val="32"/>
          <w:szCs w:val="32"/>
        </w:rPr>
        <w:t>documentaire</w:t>
      </w:r>
      <w:r>
        <w:rPr>
          <w:rFonts w:cstheme="minorHAnsi"/>
          <w:b/>
          <w:sz w:val="32"/>
          <w:szCs w:val="32"/>
        </w:rPr>
        <w:t xml:space="preserve"> : </w:t>
      </w:r>
      <w:r w:rsidR="008A382E" w:rsidRPr="00EE3A61">
        <w:rPr>
          <w:rFonts w:cstheme="minorHAnsi"/>
          <w:b/>
          <w:sz w:val="32"/>
          <w:szCs w:val="32"/>
        </w:rPr>
        <w:t>La Commission européenne a-t-elle eu raison d’interdire l’acquisition d</w:t>
      </w:r>
      <w:r w:rsidR="002D0421" w:rsidRPr="00EE3A61">
        <w:rPr>
          <w:rFonts w:cstheme="minorHAnsi"/>
          <w:b/>
          <w:sz w:val="32"/>
          <w:szCs w:val="32"/>
        </w:rPr>
        <w:t xml:space="preserve">e </w:t>
      </w:r>
      <w:r w:rsidR="008A382E" w:rsidRPr="00EE3A61">
        <w:rPr>
          <w:rFonts w:cstheme="minorHAnsi"/>
          <w:b/>
          <w:sz w:val="32"/>
          <w:szCs w:val="32"/>
        </w:rPr>
        <w:t>Alstom par Siemens ?</w:t>
      </w:r>
    </w:p>
    <w:p w14:paraId="1CBA09AD" w14:textId="77777777" w:rsidR="008A382E" w:rsidRPr="00472CBB" w:rsidRDefault="008A382E" w:rsidP="008A382E">
      <w:pPr>
        <w:tabs>
          <w:tab w:val="left" w:pos="426"/>
        </w:tabs>
        <w:spacing w:after="0"/>
        <w:jc w:val="both"/>
        <w:rPr>
          <w:rFonts w:cstheme="minorHAnsi"/>
          <w:bCs/>
          <w:sz w:val="24"/>
          <w:szCs w:val="24"/>
        </w:rPr>
      </w:pPr>
    </w:p>
    <w:p w14:paraId="77CFD178" w14:textId="0C75A270" w:rsidR="008A382E" w:rsidRDefault="008A382E" w:rsidP="008A382E">
      <w:pPr>
        <w:tabs>
          <w:tab w:val="left" w:pos="426"/>
        </w:tabs>
        <w:spacing w:after="0"/>
        <w:jc w:val="both"/>
        <w:rPr>
          <w:rFonts w:cstheme="minorHAnsi"/>
          <w:bCs/>
          <w:sz w:val="24"/>
          <w:szCs w:val="24"/>
        </w:rPr>
      </w:pPr>
      <w:r w:rsidRPr="00472CBB">
        <w:rPr>
          <w:rFonts w:cstheme="minorHAnsi"/>
          <w:bCs/>
          <w:sz w:val="24"/>
          <w:szCs w:val="24"/>
        </w:rPr>
        <w:t>Contexte :</w:t>
      </w:r>
      <w:r w:rsidRPr="008A382E">
        <w:t xml:space="preserve"> </w:t>
      </w:r>
      <w:r w:rsidRPr="008A382E">
        <w:rPr>
          <w:rFonts w:cstheme="minorHAnsi"/>
          <w:bCs/>
          <w:sz w:val="24"/>
          <w:szCs w:val="24"/>
        </w:rPr>
        <w:t xml:space="preserve">Le 6 février 2019, la Commission européenne a interdit le projet d’acquisition d’Alstom par la branche Siemens </w:t>
      </w:r>
      <w:proofErr w:type="spellStart"/>
      <w:r w:rsidRPr="008A382E">
        <w:rPr>
          <w:rFonts w:cstheme="minorHAnsi"/>
          <w:bCs/>
          <w:sz w:val="24"/>
          <w:szCs w:val="24"/>
        </w:rPr>
        <w:t>Mobility</w:t>
      </w:r>
      <w:proofErr w:type="spellEnd"/>
      <w:r w:rsidRPr="008A382E">
        <w:rPr>
          <w:rFonts w:cstheme="minorHAnsi"/>
          <w:bCs/>
          <w:sz w:val="24"/>
          <w:szCs w:val="24"/>
        </w:rPr>
        <w:t>, le jugeant contraire aux règles de la concurrence de l’Union européenne (UE), en application du règlement de l’UE sur les concentrations d’entreprises.</w:t>
      </w:r>
      <w:r w:rsidRPr="00472CBB">
        <w:rPr>
          <w:rFonts w:cstheme="minorHAnsi"/>
          <w:bCs/>
          <w:sz w:val="24"/>
          <w:szCs w:val="24"/>
        </w:rPr>
        <w:t xml:space="preserve"> Cette </w:t>
      </w:r>
      <w:r>
        <w:rPr>
          <w:rFonts w:cstheme="minorHAnsi"/>
          <w:bCs/>
          <w:sz w:val="24"/>
          <w:szCs w:val="24"/>
        </w:rPr>
        <w:t>interdiction</w:t>
      </w:r>
      <w:r w:rsidRPr="00472CBB">
        <w:rPr>
          <w:rFonts w:cstheme="minorHAnsi"/>
          <w:bCs/>
          <w:sz w:val="24"/>
          <w:szCs w:val="24"/>
        </w:rPr>
        <w:t xml:space="preserve"> ne fait cependant pas l’unanimité. Fa</w:t>
      </w:r>
      <w:r>
        <w:rPr>
          <w:rFonts w:cstheme="minorHAnsi"/>
          <w:bCs/>
          <w:sz w:val="24"/>
          <w:szCs w:val="24"/>
        </w:rPr>
        <w:t>llai</w:t>
      </w:r>
      <w:r w:rsidRPr="00472CBB">
        <w:rPr>
          <w:rFonts w:cstheme="minorHAnsi"/>
          <w:bCs/>
          <w:sz w:val="24"/>
          <w:szCs w:val="24"/>
        </w:rPr>
        <w:t xml:space="preserve">t-il </w:t>
      </w:r>
      <w:r>
        <w:rPr>
          <w:rFonts w:cstheme="minorHAnsi"/>
          <w:bCs/>
          <w:sz w:val="24"/>
          <w:szCs w:val="24"/>
        </w:rPr>
        <w:t>autoriser cette acquisition</w:t>
      </w:r>
      <w:r w:rsidRPr="00472CBB">
        <w:rPr>
          <w:rFonts w:cstheme="minorHAnsi"/>
          <w:bCs/>
          <w:sz w:val="24"/>
          <w:szCs w:val="24"/>
        </w:rPr>
        <w:t> ?</w:t>
      </w:r>
    </w:p>
    <w:p w14:paraId="55272F6B" w14:textId="77777777" w:rsidR="008A382E" w:rsidRDefault="008A382E" w:rsidP="008A382E">
      <w:pPr>
        <w:tabs>
          <w:tab w:val="left" w:pos="426"/>
        </w:tabs>
        <w:spacing w:after="0"/>
        <w:jc w:val="both"/>
        <w:rPr>
          <w:rFonts w:cstheme="minorHAnsi"/>
          <w:bCs/>
          <w:sz w:val="24"/>
          <w:szCs w:val="24"/>
        </w:rPr>
      </w:pPr>
    </w:p>
    <w:p w14:paraId="1B1E9C78" w14:textId="77777777" w:rsidR="008A382E" w:rsidRDefault="008A382E" w:rsidP="008A382E">
      <w:pPr>
        <w:tabs>
          <w:tab w:val="left" w:pos="426"/>
        </w:tabs>
        <w:spacing w:after="0"/>
        <w:jc w:val="both"/>
        <w:rPr>
          <w:rFonts w:cstheme="minorHAnsi"/>
          <w:bCs/>
          <w:sz w:val="24"/>
          <w:szCs w:val="24"/>
        </w:rPr>
      </w:pPr>
    </w:p>
    <w:p w14:paraId="5D436018" w14:textId="6C3418BD" w:rsidR="008A382E" w:rsidRPr="008A382E" w:rsidRDefault="008A382E" w:rsidP="00656DD0">
      <w:pPr>
        <w:pBdr>
          <w:top w:val="single" w:sz="4" w:space="1" w:color="auto"/>
          <w:left w:val="single" w:sz="4" w:space="4" w:color="auto"/>
          <w:bottom w:val="single" w:sz="4" w:space="1" w:color="auto"/>
          <w:right w:val="single" w:sz="4" w:space="4" w:color="auto"/>
        </w:pBdr>
        <w:tabs>
          <w:tab w:val="left" w:pos="426"/>
        </w:tabs>
        <w:spacing w:after="0"/>
        <w:jc w:val="both"/>
        <w:rPr>
          <w:rFonts w:cstheme="minorHAnsi"/>
          <w:b/>
          <w:sz w:val="24"/>
          <w:szCs w:val="24"/>
        </w:rPr>
      </w:pPr>
      <w:proofErr w:type="gramStart"/>
      <w:r w:rsidRPr="008A382E">
        <w:rPr>
          <w:rFonts w:cstheme="minorHAnsi"/>
          <w:b/>
          <w:sz w:val="36"/>
          <w:szCs w:val="36"/>
        </w:rPr>
        <w:t>❶</w:t>
      </w:r>
      <w:proofErr w:type="gramEnd"/>
      <w:r w:rsidRPr="008A382E">
        <w:rPr>
          <w:rFonts w:cstheme="minorHAnsi"/>
          <w:b/>
          <w:sz w:val="24"/>
          <w:szCs w:val="24"/>
        </w:rPr>
        <w:t xml:space="preserve"> La Commission européenne justifie son rejet de la fusion Alstom-Siemens</w:t>
      </w:r>
    </w:p>
    <w:p w14:paraId="7B073003" w14:textId="0EA15F4D" w:rsidR="008A382E" w:rsidRDefault="008A382E" w:rsidP="00656DD0">
      <w:pPr>
        <w:pBdr>
          <w:top w:val="single" w:sz="4" w:space="1" w:color="auto"/>
          <w:left w:val="single" w:sz="4" w:space="4" w:color="auto"/>
          <w:bottom w:val="single" w:sz="4" w:space="1" w:color="auto"/>
          <w:right w:val="single" w:sz="4" w:space="4" w:color="auto"/>
        </w:pBdr>
        <w:tabs>
          <w:tab w:val="left" w:pos="426"/>
        </w:tabs>
        <w:spacing w:after="0"/>
        <w:jc w:val="both"/>
        <w:rPr>
          <w:rFonts w:cstheme="minorHAnsi"/>
          <w:bCs/>
          <w:sz w:val="24"/>
          <w:szCs w:val="24"/>
        </w:rPr>
      </w:pPr>
      <w:r w:rsidRPr="008A382E">
        <w:rPr>
          <w:rFonts w:cstheme="minorHAnsi"/>
          <w:bCs/>
          <w:sz w:val="24"/>
          <w:szCs w:val="24"/>
        </w:rPr>
        <w:t>La Commission européenne a annoncé mercredi, comme prévu, qu'elle bloquait le projet de fusion Siemens-Alstom.</w:t>
      </w:r>
      <w:r>
        <w:rPr>
          <w:rFonts w:cstheme="minorHAnsi"/>
          <w:bCs/>
          <w:sz w:val="24"/>
          <w:szCs w:val="24"/>
        </w:rPr>
        <w:t xml:space="preserve"> </w:t>
      </w:r>
      <w:r w:rsidRPr="008A382E">
        <w:rPr>
          <w:rFonts w:cstheme="minorHAnsi"/>
          <w:bCs/>
          <w:sz w:val="24"/>
          <w:szCs w:val="24"/>
        </w:rPr>
        <w:t xml:space="preserve">Une décision que </w:t>
      </w:r>
      <w:proofErr w:type="spellStart"/>
      <w:r w:rsidRPr="008A382E">
        <w:rPr>
          <w:rFonts w:cstheme="minorHAnsi"/>
          <w:bCs/>
          <w:sz w:val="24"/>
          <w:szCs w:val="24"/>
        </w:rPr>
        <w:t>Margrethe</w:t>
      </w:r>
      <w:proofErr w:type="spellEnd"/>
      <w:r w:rsidRPr="008A382E">
        <w:rPr>
          <w:rFonts w:cstheme="minorHAnsi"/>
          <w:bCs/>
          <w:sz w:val="24"/>
          <w:szCs w:val="24"/>
        </w:rPr>
        <w:t xml:space="preserve"> </w:t>
      </w:r>
      <w:proofErr w:type="spellStart"/>
      <w:r w:rsidRPr="008A382E">
        <w:rPr>
          <w:rFonts w:cstheme="minorHAnsi"/>
          <w:bCs/>
          <w:sz w:val="24"/>
          <w:szCs w:val="24"/>
        </w:rPr>
        <w:t>Vestager</w:t>
      </w:r>
      <w:proofErr w:type="spellEnd"/>
      <w:r w:rsidRPr="008A382E">
        <w:rPr>
          <w:rFonts w:cstheme="minorHAnsi"/>
          <w:bCs/>
          <w:sz w:val="24"/>
          <w:szCs w:val="24"/>
        </w:rPr>
        <w:t xml:space="preserve">, la commissaire chargée de la Concurrence, a justifiée </w:t>
      </w:r>
      <w:r>
        <w:rPr>
          <w:rFonts w:cstheme="minorHAnsi"/>
          <w:bCs/>
          <w:sz w:val="24"/>
          <w:szCs w:val="24"/>
        </w:rPr>
        <w:t xml:space="preserve">[…]. </w:t>
      </w:r>
      <w:r w:rsidRPr="008A382E">
        <w:rPr>
          <w:rFonts w:cstheme="minorHAnsi"/>
          <w:bCs/>
          <w:sz w:val="24"/>
          <w:szCs w:val="24"/>
        </w:rPr>
        <w:t>Sur la plupart des marchés couverts par les deux groupes, comme les rames de métro ou les trains régionaux par exemple, de nombreux constructeurs ferroviaires sont présents et la fusion de Siemens et d'Alstom n'aurait pas posé de problème.</w:t>
      </w:r>
      <w:r>
        <w:rPr>
          <w:rFonts w:cstheme="minorHAnsi"/>
          <w:bCs/>
          <w:sz w:val="24"/>
          <w:szCs w:val="24"/>
        </w:rPr>
        <w:t xml:space="preserve"> […] </w:t>
      </w:r>
      <w:r w:rsidRPr="008A382E">
        <w:rPr>
          <w:rFonts w:cstheme="minorHAnsi"/>
          <w:bCs/>
          <w:sz w:val="24"/>
          <w:szCs w:val="24"/>
        </w:rPr>
        <w:t xml:space="preserve">Mais ce n'est pas le cas pour les trains à très grande vitesse et pour la signalisation ferroviaire, deux domaines sur lesquels la fusion « aurait réduit de manière significative la concurrence, a avancé </w:t>
      </w:r>
      <w:proofErr w:type="spellStart"/>
      <w:r w:rsidRPr="008A382E">
        <w:rPr>
          <w:rFonts w:cstheme="minorHAnsi"/>
          <w:bCs/>
          <w:sz w:val="24"/>
          <w:szCs w:val="24"/>
        </w:rPr>
        <w:t>Margrethe</w:t>
      </w:r>
      <w:proofErr w:type="spellEnd"/>
      <w:r w:rsidRPr="008A382E">
        <w:rPr>
          <w:rFonts w:cstheme="minorHAnsi"/>
          <w:bCs/>
          <w:sz w:val="24"/>
          <w:szCs w:val="24"/>
        </w:rPr>
        <w:t xml:space="preserve"> </w:t>
      </w:r>
      <w:proofErr w:type="spellStart"/>
      <w:r w:rsidRPr="008A382E">
        <w:rPr>
          <w:rFonts w:cstheme="minorHAnsi"/>
          <w:bCs/>
          <w:sz w:val="24"/>
          <w:szCs w:val="24"/>
        </w:rPr>
        <w:t>Vestager</w:t>
      </w:r>
      <w:proofErr w:type="spellEnd"/>
      <w:r w:rsidRPr="008A382E">
        <w:rPr>
          <w:rFonts w:cstheme="minorHAnsi"/>
          <w:bCs/>
          <w:sz w:val="24"/>
          <w:szCs w:val="24"/>
        </w:rPr>
        <w:t>. Sur certains segments, il n'y aurait même plus eu de concurrence du tout. » Ce qui se serait traduit par une hausse des prix pour les clients et une réduction de l'innovation.</w:t>
      </w:r>
      <w:r>
        <w:rPr>
          <w:rFonts w:cstheme="minorHAnsi"/>
          <w:bCs/>
          <w:sz w:val="24"/>
          <w:szCs w:val="24"/>
        </w:rPr>
        <w:t xml:space="preserve"> […]</w:t>
      </w:r>
    </w:p>
    <w:p w14:paraId="4A80A479" w14:textId="260D96AE" w:rsidR="008A382E" w:rsidRDefault="008A382E" w:rsidP="00656DD0">
      <w:pPr>
        <w:pBdr>
          <w:top w:val="single" w:sz="4" w:space="1" w:color="auto"/>
          <w:left w:val="single" w:sz="4" w:space="4" w:color="auto"/>
          <w:bottom w:val="single" w:sz="4" w:space="1" w:color="auto"/>
          <w:right w:val="single" w:sz="4" w:space="4" w:color="auto"/>
        </w:pBdr>
        <w:tabs>
          <w:tab w:val="left" w:pos="426"/>
        </w:tabs>
        <w:spacing w:after="0"/>
        <w:jc w:val="both"/>
        <w:rPr>
          <w:rFonts w:cstheme="minorHAnsi"/>
          <w:bCs/>
          <w:sz w:val="24"/>
          <w:szCs w:val="24"/>
        </w:rPr>
      </w:pPr>
      <w:r w:rsidRPr="008A382E">
        <w:rPr>
          <w:rFonts w:cstheme="minorHAnsi"/>
          <w:bCs/>
          <w:sz w:val="24"/>
          <w:szCs w:val="24"/>
        </w:rPr>
        <w:t>La commissaire a également écarté de manière très sèche la réalité de la menace chinoise, souvent invoquée par les partisans de la fusion pour la justifier. « CRRC réalise 90 % de son chiffre d'affaires en Chine. Mais il n'y a aucune perspective d'entrée des Chinois en Europe dans un avenir prévisible. » Même constat sur le marché de la signalisation ferroviaire : « Ils ne sont nulle part en Europe. »</w:t>
      </w:r>
    </w:p>
    <w:p w14:paraId="1B9D9A7B" w14:textId="30F3CA79" w:rsidR="008A382E" w:rsidRPr="00656DD0" w:rsidRDefault="00656DD0" w:rsidP="00656DD0">
      <w:pPr>
        <w:pBdr>
          <w:top w:val="single" w:sz="4" w:space="1" w:color="auto"/>
          <w:left w:val="single" w:sz="4" w:space="4" w:color="auto"/>
          <w:bottom w:val="single" w:sz="4" w:space="1" w:color="auto"/>
          <w:right w:val="single" w:sz="4" w:space="4" w:color="auto"/>
        </w:pBdr>
        <w:tabs>
          <w:tab w:val="left" w:pos="426"/>
        </w:tabs>
        <w:spacing w:after="0"/>
        <w:jc w:val="right"/>
        <w:rPr>
          <w:rFonts w:cstheme="minorHAnsi"/>
          <w:bCs/>
          <w:sz w:val="20"/>
          <w:szCs w:val="20"/>
        </w:rPr>
      </w:pPr>
      <w:r w:rsidRPr="00656DD0">
        <w:rPr>
          <w:rFonts w:cstheme="minorHAnsi"/>
          <w:bCs/>
          <w:sz w:val="20"/>
          <w:szCs w:val="20"/>
        </w:rPr>
        <w:t xml:space="preserve">Lionel Steinmann, </w:t>
      </w:r>
      <w:r w:rsidR="008A382E" w:rsidRPr="00656DD0">
        <w:rPr>
          <w:rFonts w:cstheme="minorHAnsi"/>
          <w:bCs/>
          <w:sz w:val="20"/>
          <w:szCs w:val="20"/>
        </w:rPr>
        <w:t xml:space="preserve">« La Commission européenne justifie son rejet de la fusion Alstom-Siemens », </w:t>
      </w:r>
      <w:r w:rsidRPr="00656DD0">
        <w:rPr>
          <w:rFonts w:cstheme="minorHAnsi"/>
          <w:bCs/>
          <w:i/>
          <w:iCs/>
          <w:sz w:val="20"/>
          <w:szCs w:val="20"/>
        </w:rPr>
        <w:t>Les échos</w:t>
      </w:r>
      <w:r w:rsidRPr="00656DD0">
        <w:rPr>
          <w:rFonts w:cstheme="minorHAnsi"/>
          <w:bCs/>
          <w:sz w:val="20"/>
          <w:szCs w:val="20"/>
        </w:rPr>
        <w:t>, février 2019</w:t>
      </w:r>
    </w:p>
    <w:p w14:paraId="2F6E15F7" w14:textId="77777777" w:rsidR="00656DD0" w:rsidRDefault="00656DD0" w:rsidP="008A382E">
      <w:pPr>
        <w:tabs>
          <w:tab w:val="left" w:pos="426"/>
        </w:tabs>
        <w:spacing w:after="0"/>
        <w:jc w:val="both"/>
        <w:rPr>
          <w:rFonts w:cstheme="minorHAnsi"/>
          <w:bCs/>
          <w:sz w:val="24"/>
          <w:szCs w:val="24"/>
        </w:rPr>
      </w:pPr>
    </w:p>
    <w:p w14:paraId="1C08EE7E" w14:textId="428D5F18" w:rsidR="00656DD0" w:rsidRPr="00656DD0" w:rsidRDefault="00656DD0" w:rsidP="003D5096">
      <w:pPr>
        <w:pBdr>
          <w:top w:val="single" w:sz="4" w:space="1" w:color="auto"/>
          <w:left w:val="single" w:sz="4" w:space="4" w:color="auto"/>
          <w:bottom w:val="single" w:sz="4" w:space="1" w:color="auto"/>
          <w:right w:val="single" w:sz="4" w:space="4" w:color="auto"/>
        </w:pBdr>
        <w:spacing w:after="0"/>
        <w:rPr>
          <w:rFonts w:cstheme="minorHAnsi"/>
          <w:bCs/>
          <w:sz w:val="24"/>
          <w:szCs w:val="24"/>
        </w:rPr>
      </w:pPr>
      <w:proofErr w:type="gramStart"/>
      <w:r w:rsidRPr="00656DD0">
        <w:rPr>
          <w:rFonts w:cstheme="minorHAnsi"/>
          <w:b/>
          <w:sz w:val="36"/>
          <w:szCs w:val="36"/>
        </w:rPr>
        <w:t>❷</w:t>
      </w:r>
      <w:proofErr w:type="gramEnd"/>
      <w:r>
        <w:rPr>
          <w:rFonts w:cstheme="minorHAnsi"/>
          <w:b/>
          <w:sz w:val="36"/>
          <w:szCs w:val="36"/>
        </w:rPr>
        <w:t xml:space="preserve"> </w:t>
      </w:r>
      <w:r>
        <w:rPr>
          <w:rFonts w:cstheme="minorHAnsi"/>
          <w:b/>
          <w:sz w:val="24"/>
          <w:szCs w:val="24"/>
        </w:rPr>
        <w:t>Marché des équipementiers ferroviaire</w:t>
      </w:r>
    </w:p>
    <w:p w14:paraId="0D6CBC43" w14:textId="77777777" w:rsidR="003D5096" w:rsidRDefault="00656DD0" w:rsidP="003D5096">
      <w:pPr>
        <w:pBdr>
          <w:top w:val="single" w:sz="4" w:space="1" w:color="auto"/>
          <w:left w:val="single" w:sz="4" w:space="4" w:color="auto"/>
          <w:bottom w:val="single" w:sz="4" w:space="1" w:color="auto"/>
          <w:right w:val="single" w:sz="4" w:space="4" w:color="auto"/>
        </w:pBdr>
        <w:jc w:val="center"/>
        <w:rPr>
          <w:rFonts w:cstheme="minorHAnsi"/>
          <w:bCs/>
          <w:sz w:val="24"/>
          <w:szCs w:val="24"/>
        </w:rPr>
      </w:pPr>
      <w:r w:rsidRPr="00656DD0">
        <w:rPr>
          <w:rFonts w:cstheme="minorHAnsi"/>
          <w:bCs/>
          <w:noProof/>
          <w:sz w:val="24"/>
          <w:szCs w:val="24"/>
        </w:rPr>
        <w:drawing>
          <wp:inline distT="0" distB="0" distL="0" distR="0" wp14:anchorId="6D5BFC30" wp14:editId="19C73F6D">
            <wp:extent cx="6253566" cy="3420162"/>
            <wp:effectExtent l="0" t="0" r="0" b="0"/>
            <wp:docPr id="627092400" name="Image 9" descr="Ferroviaire : la fusion du Français Alstom et de l'Allemand Siemens scellée  - Le Parisi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Ferroviaire : la fusion du Français Alstom et de l'Allemand Siemens scellée  - Le Parisien"/>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261662" cy="3424590"/>
                    </a:xfrm>
                    <a:prstGeom prst="rect">
                      <a:avLst/>
                    </a:prstGeom>
                    <a:noFill/>
                    <a:ln>
                      <a:noFill/>
                    </a:ln>
                  </pic:spPr>
                </pic:pic>
              </a:graphicData>
            </a:graphic>
          </wp:inline>
        </w:drawing>
      </w:r>
    </w:p>
    <w:p w14:paraId="0EC73231" w14:textId="5E464C18" w:rsidR="00656DD0" w:rsidRDefault="00656DD0" w:rsidP="003D5096">
      <w:pPr>
        <w:rPr>
          <w:rFonts w:cstheme="minorHAnsi"/>
          <w:bCs/>
          <w:sz w:val="24"/>
          <w:szCs w:val="24"/>
        </w:rPr>
      </w:pPr>
      <w:r w:rsidRPr="00656DD0">
        <w:rPr>
          <w:rFonts w:cstheme="minorHAnsi"/>
          <w:bCs/>
          <w:sz w:val="24"/>
          <w:szCs w:val="24"/>
        </w:rPr>
        <w:t xml:space="preserve"> </w:t>
      </w:r>
    </w:p>
    <w:p w14:paraId="5F9DC280" w14:textId="00BB5669" w:rsidR="00656DD0" w:rsidRPr="00656DD0" w:rsidRDefault="00656DD0" w:rsidP="00656DD0">
      <w:pPr>
        <w:pBdr>
          <w:top w:val="single" w:sz="4" w:space="1" w:color="auto"/>
          <w:left w:val="single" w:sz="4" w:space="4" w:color="auto"/>
          <w:bottom w:val="single" w:sz="4" w:space="1" w:color="auto"/>
          <w:right w:val="single" w:sz="4" w:space="4" w:color="auto"/>
        </w:pBdr>
        <w:tabs>
          <w:tab w:val="left" w:pos="426"/>
        </w:tabs>
        <w:spacing w:after="0"/>
        <w:jc w:val="both"/>
        <w:rPr>
          <w:rFonts w:cstheme="minorHAnsi"/>
          <w:b/>
          <w:sz w:val="24"/>
          <w:szCs w:val="24"/>
        </w:rPr>
      </w:pPr>
      <w:proofErr w:type="gramStart"/>
      <w:r w:rsidRPr="00656DD0">
        <w:rPr>
          <w:rFonts w:cstheme="minorHAnsi"/>
          <w:b/>
          <w:sz w:val="36"/>
          <w:szCs w:val="36"/>
        </w:rPr>
        <w:lastRenderedPageBreak/>
        <w:t>❸</w:t>
      </w:r>
      <w:proofErr w:type="gramEnd"/>
      <w:r>
        <w:rPr>
          <w:rFonts w:cstheme="minorHAnsi"/>
          <w:b/>
          <w:sz w:val="36"/>
          <w:szCs w:val="36"/>
        </w:rPr>
        <w:t xml:space="preserve"> </w:t>
      </w:r>
      <w:r w:rsidRPr="00656DD0">
        <w:rPr>
          <w:rFonts w:cstheme="minorHAnsi"/>
          <w:b/>
          <w:sz w:val="24"/>
          <w:szCs w:val="24"/>
        </w:rPr>
        <w:t>CRRC, l’ogre chinois</w:t>
      </w:r>
    </w:p>
    <w:p w14:paraId="5023BC8E" w14:textId="24B5F655" w:rsidR="00656DD0" w:rsidRPr="003D5096" w:rsidRDefault="00656DD0" w:rsidP="00656DD0">
      <w:pPr>
        <w:pBdr>
          <w:top w:val="single" w:sz="4" w:space="1" w:color="auto"/>
          <w:left w:val="single" w:sz="4" w:space="4" w:color="auto"/>
          <w:bottom w:val="single" w:sz="4" w:space="1" w:color="auto"/>
          <w:right w:val="single" w:sz="4" w:space="4" w:color="auto"/>
        </w:pBdr>
        <w:tabs>
          <w:tab w:val="left" w:pos="426"/>
        </w:tabs>
        <w:spacing w:after="0"/>
        <w:jc w:val="both"/>
        <w:rPr>
          <w:rFonts w:cstheme="minorHAnsi"/>
          <w:bCs/>
        </w:rPr>
      </w:pPr>
      <w:r w:rsidRPr="003D5096">
        <w:rPr>
          <w:rFonts w:cstheme="minorHAnsi"/>
          <w:bCs/>
        </w:rPr>
        <w:t xml:space="preserve">La menace qui a poussé Alstom et Siemens à se marier tient en quatre lettres : CRRC. Né fin 2014 de la fusion de deux conglomérats contrôlés par l’Etat chinois, l’équipementier ferroviaire China Railway Rolling Stock Corporation pèse à lui seul bien plus lourd que Alstom, Siemens et Bombardier réunis. </w:t>
      </w:r>
    </w:p>
    <w:p w14:paraId="11690289" w14:textId="2CF60263" w:rsidR="00656DD0" w:rsidRPr="003D5096" w:rsidRDefault="00656DD0" w:rsidP="00656DD0">
      <w:pPr>
        <w:pBdr>
          <w:top w:val="single" w:sz="4" w:space="1" w:color="auto"/>
          <w:left w:val="single" w:sz="4" w:space="4" w:color="auto"/>
          <w:bottom w:val="single" w:sz="4" w:space="1" w:color="auto"/>
          <w:right w:val="single" w:sz="4" w:space="4" w:color="auto"/>
        </w:pBdr>
        <w:tabs>
          <w:tab w:val="left" w:pos="426"/>
        </w:tabs>
        <w:spacing w:after="0"/>
        <w:jc w:val="both"/>
        <w:rPr>
          <w:rFonts w:cstheme="minorHAnsi"/>
          <w:bCs/>
        </w:rPr>
      </w:pPr>
      <w:r w:rsidRPr="003D5096">
        <w:rPr>
          <w:rFonts w:cstheme="minorHAnsi"/>
          <w:bCs/>
        </w:rPr>
        <w:t xml:space="preserve">Fort d’un chiffre d’affaires de 224 milliards de yuans (28,6 milliards d’euros) en 2016, ce mastodonte de 180.000 salariés ne veut plus se contenter de mailler le territoire chinois et passe à l’offensive à l’étranger. </w:t>
      </w:r>
      <w:r w:rsidR="003D5096" w:rsidRPr="003D5096">
        <w:rPr>
          <w:rFonts w:cstheme="minorHAnsi"/>
          <w:bCs/>
        </w:rPr>
        <w:t>[…] L</w:t>
      </w:r>
      <w:r w:rsidRPr="003D5096">
        <w:rPr>
          <w:rFonts w:cstheme="minorHAnsi"/>
          <w:bCs/>
        </w:rPr>
        <w:t>’ambition est bien là : le groupe est justement né de la volonté Pékin de créer un champion du rail de dimension mondiale et d’éviter que les deux groupes préexistants (CNR et CSR) se concurrencent entre eux à l’export. […]</w:t>
      </w:r>
    </w:p>
    <w:p w14:paraId="71A1DF74" w14:textId="74C64B9B" w:rsidR="00656DD0" w:rsidRPr="003D5096" w:rsidRDefault="00656DD0" w:rsidP="00656DD0">
      <w:pPr>
        <w:pBdr>
          <w:top w:val="single" w:sz="4" w:space="1" w:color="auto"/>
          <w:left w:val="single" w:sz="4" w:space="4" w:color="auto"/>
          <w:bottom w:val="single" w:sz="4" w:space="1" w:color="auto"/>
          <w:right w:val="single" w:sz="4" w:space="4" w:color="auto"/>
        </w:pBdr>
        <w:tabs>
          <w:tab w:val="left" w:pos="426"/>
        </w:tabs>
        <w:spacing w:after="0"/>
        <w:jc w:val="both"/>
        <w:rPr>
          <w:rFonts w:cstheme="minorHAnsi"/>
          <w:bCs/>
        </w:rPr>
      </w:pPr>
      <w:r w:rsidRPr="003D5096">
        <w:rPr>
          <w:rFonts w:cstheme="minorHAnsi"/>
          <w:bCs/>
        </w:rPr>
        <w:t>Le groupe chinois s’est particulièrement illustré en Europe ces derniers mois, se proposant de redresser les chemins de fer bulgares, voulant racheter la branche ferroviaire du tchèque Skoda (toujours en cours) et signant son premier contrat de train à grande vitesse dans l’Union européenne avec un exploitant privé tchèque. Aux Etats-Unis aussi, CRRC a remporté de premiers succès, notamment avec des contrats pour le renouvellement des rames de métro à Boston et Chicago. […]</w:t>
      </w:r>
    </w:p>
    <w:p w14:paraId="66234CAD" w14:textId="6BAE39B8" w:rsidR="00656DD0" w:rsidRPr="003D5096" w:rsidRDefault="00656DD0" w:rsidP="00656DD0">
      <w:pPr>
        <w:pBdr>
          <w:top w:val="single" w:sz="4" w:space="1" w:color="auto"/>
          <w:left w:val="single" w:sz="4" w:space="4" w:color="auto"/>
          <w:bottom w:val="single" w:sz="4" w:space="1" w:color="auto"/>
          <w:right w:val="single" w:sz="4" w:space="4" w:color="auto"/>
        </w:pBdr>
        <w:tabs>
          <w:tab w:val="left" w:pos="426"/>
        </w:tabs>
        <w:spacing w:after="0"/>
        <w:jc w:val="both"/>
        <w:rPr>
          <w:rFonts w:cstheme="minorHAnsi"/>
          <w:bCs/>
        </w:rPr>
      </w:pPr>
      <w:r w:rsidRPr="003D5096">
        <w:rPr>
          <w:rFonts w:cstheme="minorHAnsi"/>
          <w:bCs/>
        </w:rPr>
        <w:t xml:space="preserve">De plus en plus présent dans les appels d’offres internationaux, « CRRC présente beaucoup d’arguments, explique Hu </w:t>
      </w:r>
      <w:proofErr w:type="spellStart"/>
      <w:r w:rsidRPr="003D5096">
        <w:rPr>
          <w:rFonts w:cstheme="minorHAnsi"/>
          <w:bCs/>
        </w:rPr>
        <w:t>Xingdou</w:t>
      </w:r>
      <w:proofErr w:type="spellEnd"/>
      <w:r w:rsidRPr="003D5096">
        <w:rPr>
          <w:rFonts w:cstheme="minorHAnsi"/>
          <w:bCs/>
        </w:rPr>
        <w:t>, professeur à l’université de technologie de Pékin. La Chine possède le plus grand réseau ferroviaire à grande vitesse, ce qui permet à CRRC de démontrer son expérience en la matière. L’entreprise est également compétitive sur les prix et sur le soutien financier qu’elle peut apporter aux projets ». […] Si la Chine possède le plus grand réseau ferroviaire à grande vitesse du monde (22.000 kilomètres aujourd’hui, 30.000 prévus en 2020), CRRC peine encore à se doter d’une belle vitrine à l’étranger sur ce terrain cher à Alstom. Il y a trois ans, le groupe a connu un cuisant revers avec l'annulation d'un appel d'offres pour un projet de TGV à 3,75 milliards de dollars au Mexique. </w:t>
      </w:r>
    </w:p>
    <w:p w14:paraId="4518F7C8" w14:textId="104FCB36" w:rsidR="00656DD0" w:rsidRPr="00656DD0" w:rsidRDefault="00656DD0" w:rsidP="00656DD0">
      <w:pPr>
        <w:pBdr>
          <w:top w:val="single" w:sz="4" w:space="1" w:color="auto"/>
          <w:left w:val="single" w:sz="4" w:space="4" w:color="auto"/>
          <w:bottom w:val="single" w:sz="4" w:space="1" w:color="auto"/>
          <w:right w:val="single" w:sz="4" w:space="4" w:color="auto"/>
        </w:pBdr>
        <w:tabs>
          <w:tab w:val="left" w:pos="426"/>
        </w:tabs>
        <w:spacing w:after="0"/>
        <w:jc w:val="right"/>
        <w:rPr>
          <w:rFonts w:cstheme="minorHAnsi"/>
          <w:bCs/>
          <w:sz w:val="20"/>
          <w:szCs w:val="20"/>
        </w:rPr>
      </w:pPr>
      <w:r w:rsidRPr="00656DD0">
        <w:rPr>
          <w:rFonts w:cstheme="minorHAnsi"/>
          <w:bCs/>
          <w:sz w:val="20"/>
          <w:szCs w:val="20"/>
        </w:rPr>
        <w:t>Frédéric Schaeffer, « CRRC, l’ogre chinois qui a poussé Alstom dans les bras de Siemens », Les échos, sept. 2017</w:t>
      </w:r>
    </w:p>
    <w:p w14:paraId="37B524D1" w14:textId="77777777" w:rsidR="00656DD0" w:rsidRDefault="00656DD0" w:rsidP="00656DD0">
      <w:pPr>
        <w:tabs>
          <w:tab w:val="left" w:pos="426"/>
        </w:tabs>
        <w:spacing w:after="0"/>
        <w:jc w:val="both"/>
        <w:rPr>
          <w:rFonts w:cstheme="minorHAnsi"/>
          <w:bCs/>
          <w:sz w:val="24"/>
          <w:szCs w:val="24"/>
        </w:rPr>
      </w:pPr>
    </w:p>
    <w:p w14:paraId="5E118C1D" w14:textId="77777777" w:rsidR="00656DD0" w:rsidRDefault="00656DD0" w:rsidP="00656DD0">
      <w:pPr>
        <w:tabs>
          <w:tab w:val="left" w:pos="426"/>
        </w:tabs>
        <w:spacing w:after="0"/>
        <w:jc w:val="both"/>
        <w:rPr>
          <w:rFonts w:cstheme="minorHAnsi"/>
          <w:bCs/>
          <w:sz w:val="24"/>
          <w:szCs w:val="24"/>
        </w:rPr>
      </w:pPr>
    </w:p>
    <w:p w14:paraId="4C60DADB" w14:textId="07DC4D0C" w:rsidR="003D5096" w:rsidRDefault="003D5096" w:rsidP="003D5096">
      <w:pPr>
        <w:pBdr>
          <w:top w:val="single" w:sz="4" w:space="1" w:color="auto"/>
          <w:left w:val="single" w:sz="4" w:space="4" w:color="auto"/>
          <w:bottom w:val="single" w:sz="4" w:space="1" w:color="auto"/>
          <w:right w:val="single" w:sz="4" w:space="4" w:color="auto"/>
        </w:pBdr>
        <w:tabs>
          <w:tab w:val="left" w:pos="426"/>
        </w:tabs>
        <w:spacing w:after="0"/>
        <w:jc w:val="both"/>
        <w:rPr>
          <w:rFonts w:cstheme="minorHAnsi"/>
          <w:bCs/>
          <w:sz w:val="24"/>
          <w:szCs w:val="24"/>
        </w:rPr>
      </w:pPr>
      <w:proofErr w:type="gramStart"/>
      <w:r w:rsidRPr="003D5096">
        <w:rPr>
          <w:rFonts w:cstheme="minorHAnsi"/>
          <w:bCs/>
          <w:sz w:val="36"/>
          <w:szCs w:val="36"/>
        </w:rPr>
        <w:t>❹</w:t>
      </w:r>
      <w:proofErr w:type="gramEnd"/>
      <w:r>
        <w:rPr>
          <w:rFonts w:cstheme="minorHAnsi"/>
          <w:bCs/>
          <w:sz w:val="24"/>
          <w:szCs w:val="24"/>
        </w:rPr>
        <w:t xml:space="preserve"> </w:t>
      </w:r>
      <w:r w:rsidRPr="003D5096">
        <w:rPr>
          <w:rFonts w:cstheme="minorHAnsi"/>
          <w:b/>
          <w:sz w:val="24"/>
          <w:szCs w:val="24"/>
        </w:rPr>
        <w:t>Champions européens : la fusion avortée d’Alstom et Siemens</w:t>
      </w:r>
    </w:p>
    <w:p w14:paraId="5F5A9783" w14:textId="09A23FD5" w:rsidR="003D5096" w:rsidRPr="003D5096" w:rsidRDefault="003D5096" w:rsidP="003D5096">
      <w:pPr>
        <w:pBdr>
          <w:top w:val="single" w:sz="4" w:space="1" w:color="auto"/>
          <w:left w:val="single" w:sz="4" w:space="4" w:color="auto"/>
          <w:bottom w:val="single" w:sz="4" w:space="1" w:color="auto"/>
          <w:right w:val="single" w:sz="4" w:space="4" w:color="auto"/>
        </w:pBdr>
        <w:tabs>
          <w:tab w:val="left" w:pos="426"/>
        </w:tabs>
        <w:spacing w:after="0"/>
        <w:jc w:val="both"/>
        <w:rPr>
          <w:rFonts w:cstheme="minorHAnsi"/>
          <w:bCs/>
        </w:rPr>
      </w:pPr>
      <w:r w:rsidRPr="003D5096">
        <w:rPr>
          <w:rFonts w:cstheme="minorHAnsi"/>
          <w:bCs/>
        </w:rPr>
        <w:t>Ce veto bruxellois est une “erreur économique qui servira les intérêts de la Chine</w:t>
      </w:r>
      <w:proofErr w:type="gramStart"/>
      <w:r w:rsidRPr="003D5096">
        <w:rPr>
          <w:rFonts w:cstheme="minorHAnsi"/>
          <w:bCs/>
        </w:rPr>
        <w:t>” ,</w:t>
      </w:r>
      <w:proofErr w:type="gramEnd"/>
      <w:r w:rsidRPr="003D5096">
        <w:rPr>
          <w:rFonts w:cstheme="minorHAnsi"/>
          <w:bCs/>
        </w:rPr>
        <w:t xml:space="preserve"> voire une “faute politique” , selon le ministre français de l’Economie Bruno Le Maire, dont l’irritation est partagée outre-Rhin. […] La Commission se voit reprocher une supposée obsession à faire respecter les règles de concurrence dans le marché unique, empêchant les entreprises d’acquérir une taille suffisante pour faire face à la concurrence mondiale. En d’autres termes, à privilégier le consommateur en minorant les risques d’une pénétration de firmes chinoises sur les marchés publics européens. […]</w:t>
      </w:r>
    </w:p>
    <w:p w14:paraId="73A68143" w14:textId="377D001A" w:rsidR="003D5096" w:rsidRPr="003D5096" w:rsidRDefault="003D5096" w:rsidP="003D5096">
      <w:pPr>
        <w:pBdr>
          <w:top w:val="single" w:sz="4" w:space="1" w:color="auto"/>
          <w:left w:val="single" w:sz="4" w:space="4" w:color="auto"/>
          <w:bottom w:val="single" w:sz="4" w:space="1" w:color="auto"/>
          <w:right w:val="single" w:sz="4" w:space="4" w:color="auto"/>
        </w:pBdr>
        <w:tabs>
          <w:tab w:val="left" w:pos="426"/>
        </w:tabs>
        <w:spacing w:after="0"/>
        <w:jc w:val="both"/>
        <w:rPr>
          <w:rFonts w:cstheme="minorHAnsi"/>
          <w:bCs/>
        </w:rPr>
      </w:pPr>
      <w:r w:rsidRPr="003D5096">
        <w:rPr>
          <w:rFonts w:cstheme="minorHAnsi"/>
          <w:bCs/>
        </w:rPr>
        <w:t>Une concurrence jugée souhaitable, car censée permettre le progrès économique et social via l’accès du plus grand nombre à un large panel de biens qui correspondent à leurs besoins. Dans un cadre concurrentiel, la pression qu’exercent les entreprises entre elles (et qu’exercent sur elles leurs concurrents potentiels) doit encourager l’innovation et faire sortir les moins productives du marché. De quoi améliorer l’efficacité de l’économie. Pour les consommateurs, un tel cadre économique et juridique leur permet d’accéder à de nombreux biens à des prix toujours plus faibles ou, du moins, au prix du marché. Au contraire, une concurrence plus faible peut conduire les entreprises ayant un important pouvoir de marché à abuser de leur position dominante : faire augmenter les prix, réduire leurs investissements, etc. […]</w:t>
      </w:r>
    </w:p>
    <w:p w14:paraId="07869FB8" w14:textId="2C4A9767" w:rsidR="003D5096" w:rsidRPr="003D5096" w:rsidRDefault="003D5096" w:rsidP="003D5096">
      <w:pPr>
        <w:pBdr>
          <w:top w:val="single" w:sz="4" w:space="1" w:color="auto"/>
          <w:left w:val="single" w:sz="4" w:space="4" w:color="auto"/>
          <w:bottom w:val="single" w:sz="4" w:space="1" w:color="auto"/>
          <w:right w:val="single" w:sz="4" w:space="4" w:color="auto"/>
        </w:pBdr>
        <w:tabs>
          <w:tab w:val="left" w:pos="426"/>
        </w:tabs>
        <w:spacing w:after="0"/>
        <w:jc w:val="both"/>
        <w:rPr>
          <w:rFonts w:cstheme="minorHAnsi"/>
          <w:bCs/>
        </w:rPr>
      </w:pPr>
      <w:r w:rsidRPr="003D5096">
        <w:rPr>
          <w:rFonts w:cstheme="minorHAnsi"/>
          <w:bCs/>
        </w:rPr>
        <w:t>Pourtant, cette application du droit européen ne satisfait pas tous les acteurs du marché : il empêcherait la création de “champions européens” puissants sur la scène internationale. […] Seule une grande firme faisant d’importants bénéfices peut accumuler les moyens d’innover dans ses produits comme dans les procédés de fabrication. Une grande firme gagne en productivité via les économies de réseaux et d’échelle, ce qui lui permet de dégager des profits pour la recherche et le développement. […]</w:t>
      </w:r>
    </w:p>
    <w:p w14:paraId="24E07073" w14:textId="0B09A7B4" w:rsidR="003D5096" w:rsidRDefault="003D5096" w:rsidP="003D5096">
      <w:pPr>
        <w:pBdr>
          <w:top w:val="single" w:sz="4" w:space="1" w:color="auto"/>
          <w:left w:val="single" w:sz="4" w:space="4" w:color="auto"/>
          <w:bottom w:val="single" w:sz="4" w:space="1" w:color="auto"/>
          <w:right w:val="single" w:sz="4" w:space="4" w:color="auto"/>
        </w:pBdr>
        <w:tabs>
          <w:tab w:val="left" w:pos="426"/>
        </w:tabs>
        <w:spacing w:after="0"/>
        <w:jc w:val="both"/>
        <w:rPr>
          <w:rFonts w:cstheme="minorHAnsi"/>
          <w:bCs/>
        </w:rPr>
      </w:pPr>
      <w:r w:rsidRPr="003D5096">
        <w:rPr>
          <w:rFonts w:cstheme="minorHAnsi"/>
          <w:bCs/>
        </w:rPr>
        <w:t>Un tel débat permettrait de trouver un compromis entre la défense de l’intérêt des consommateurs et le besoin pour l’UE d’avoir ses “champions européens” dans certains domaines stratégiques.</w:t>
      </w:r>
    </w:p>
    <w:p w14:paraId="11D8783B" w14:textId="03EFF980" w:rsidR="003D5096" w:rsidRDefault="003D5096" w:rsidP="003D5096">
      <w:pPr>
        <w:pBdr>
          <w:top w:val="single" w:sz="4" w:space="1" w:color="auto"/>
          <w:left w:val="single" w:sz="4" w:space="4" w:color="auto"/>
          <w:bottom w:val="single" w:sz="4" w:space="1" w:color="auto"/>
          <w:right w:val="single" w:sz="4" w:space="4" w:color="auto"/>
        </w:pBdr>
        <w:tabs>
          <w:tab w:val="left" w:pos="426"/>
        </w:tabs>
        <w:spacing w:after="0"/>
        <w:jc w:val="right"/>
        <w:rPr>
          <w:rFonts w:cstheme="minorHAnsi"/>
          <w:bCs/>
          <w:sz w:val="20"/>
          <w:szCs w:val="20"/>
        </w:rPr>
      </w:pPr>
      <w:r w:rsidRPr="003D5096">
        <w:rPr>
          <w:rFonts w:cstheme="minorHAnsi"/>
          <w:bCs/>
          <w:sz w:val="20"/>
          <w:szCs w:val="20"/>
        </w:rPr>
        <w:t xml:space="preserve">Justine Daniel, « Champions” européens : la fusion avortée d’Alstom et Siemens relance le débat sur la concurrence », </w:t>
      </w:r>
      <w:hyperlink r:id="rId11" w:history="1">
        <w:r w:rsidRPr="003D5096">
          <w:rPr>
            <w:rStyle w:val="Lienhypertexte"/>
            <w:rFonts w:cstheme="minorHAnsi"/>
            <w:bCs/>
            <w:sz w:val="20"/>
            <w:szCs w:val="20"/>
          </w:rPr>
          <w:t>www.touteleurope.eu</w:t>
        </w:r>
      </w:hyperlink>
      <w:r w:rsidRPr="003D5096">
        <w:rPr>
          <w:rFonts w:cstheme="minorHAnsi"/>
          <w:bCs/>
          <w:sz w:val="20"/>
          <w:szCs w:val="20"/>
        </w:rPr>
        <w:t>, février 2019</w:t>
      </w:r>
    </w:p>
    <w:p w14:paraId="4ADF3BE3" w14:textId="77777777" w:rsidR="001743AE" w:rsidRDefault="001743AE" w:rsidP="001743AE">
      <w:pPr>
        <w:tabs>
          <w:tab w:val="left" w:pos="426"/>
        </w:tabs>
        <w:spacing w:after="0"/>
        <w:jc w:val="both"/>
        <w:rPr>
          <w:rFonts w:cstheme="minorHAnsi"/>
          <w:bCs/>
          <w:sz w:val="20"/>
          <w:szCs w:val="20"/>
        </w:rPr>
      </w:pPr>
    </w:p>
    <w:p w14:paraId="01558C5D" w14:textId="77777777" w:rsidR="001743AE" w:rsidRDefault="001743AE" w:rsidP="001743AE">
      <w:pPr>
        <w:tabs>
          <w:tab w:val="left" w:pos="426"/>
        </w:tabs>
        <w:spacing w:after="0"/>
        <w:jc w:val="both"/>
        <w:rPr>
          <w:rFonts w:cstheme="minorHAnsi"/>
          <w:bCs/>
          <w:sz w:val="20"/>
          <w:szCs w:val="20"/>
        </w:rPr>
        <w:sectPr w:rsidR="001743AE" w:rsidSect="00ED3C58">
          <w:pgSz w:w="11906" w:h="16838"/>
          <w:pgMar w:top="720" w:right="720" w:bottom="720" w:left="720" w:header="708" w:footer="708" w:gutter="0"/>
          <w:cols w:space="708"/>
          <w:docGrid w:linePitch="360"/>
        </w:sectPr>
      </w:pPr>
    </w:p>
    <w:p w14:paraId="122DC7C5" w14:textId="2FF48926" w:rsidR="001743AE" w:rsidRPr="001743AE" w:rsidRDefault="001743AE" w:rsidP="001743AE">
      <w:pPr>
        <w:pBdr>
          <w:bottom w:val="single" w:sz="4" w:space="1" w:color="auto"/>
        </w:pBdr>
        <w:tabs>
          <w:tab w:val="left" w:pos="426"/>
        </w:tabs>
        <w:spacing w:after="0"/>
        <w:jc w:val="center"/>
        <w:rPr>
          <w:rFonts w:cstheme="minorHAnsi"/>
          <w:b/>
          <w:sz w:val="28"/>
          <w:szCs w:val="28"/>
        </w:rPr>
      </w:pPr>
      <w:r w:rsidRPr="001743AE">
        <w:rPr>
          <w:rFonts w:cstheme="minorHAnsi"/>
          <w:b/>
          <w:sz w:val="28"/>
          <w:szCs w:val="28"/>
        </w:rPr>
        <w:lastRenderedPageBreak/>
        <w:t>Grille d’évaluation du jury</w:t>
      </w:r>
    </w:p>
    <w:p w14:paraId="18947C85" w14:textId="77777777" w:rsidR="001743AE" w:rsidRDefault="001743AE" w:rsidP="001743AE">
      <w:pPr>
        <w:tabs>
          <w:tab w:val="left" w:pos="426"/>
        </w:tabs>
        <w:spacing w:after="0"/>
        <w:jc w:val="both"/>
        <w:rPr>
          <w:rFonts w:cstheme="minorHAnsi"/>
          <w:bCs/>
          <w:sz w:val="20"/>
          <w:szCs w:val="20"/>
        </w:rPr>
      </w:pPr>
    </w:p>
    <w:tbl>
      <w:tblPr>
        <w:tblStyle w:val="Grilledutableau"/>
        <w:tblW w:w="0" w:type="auto"/>
        <w:tblLook w:val="04A0" w:firstRow="1" w:lastRow="0" w:firstColumn="1" w:lastColumn="0" w:noHBand="0" w:noVBand="1"/>
      </w:tblPr>
      <w:tblGrid>
        <w:gridCol w:w="2547"/>
        <w:gridCol w:w="5386"/>
        <w:gridCol w:w="1134"/>
        <w:gridCol w:w="5245"/>
        <w:gridCol w:w="1076"/>
      </w:tblGrid>
      <w:tr w:rsidR="001743AE" w14:paraId="668F3FF0" w14:textId="77777777" w:rsidTr="00BC399F">
        <w:trPr>
          <w:gridBefore w:val="1"/>
          <w:wBefore w:w="2547" w:type="dxa"/>
          <w:trHeight w:val="567"/>
        </w:trPr>
        <w:tc>
          <w:tcPr>
            <w:tcW w:w="6520" w:type="dxa"/>
            <w:gridSpan w:val="2"/>
            <w:shd w:val="clear" w:color="auto" w:fill="EEECE1" w:themeFill="background2"/>
            <w:vAlign w:val="center"/>
          </w:tcPr>
          <w:p w14:paraId="01F0CC04" w14:textId="77777777" w:rsidR="001743AE" w:rsidRPr="005D575C" w:rsidRDefault="001743AE" w:rsidP="00BC399F">
            <w:pPr>
              <w:jc w:val="center"/>
              <w:rPr>
                <w:b/>
                <w:bCs/>
                <w:sz w:val="28"/>
                <w:szCs w:val="28"/>
              </w:rPr>
            </w:pPr>
            <w:r w:rsidRPr="005D575C">
              <w:rPr>
                <w:b/>
                <w:bCs/>
                <w:sz w:val="28"/>
                <w:szCs w:val="28"/>
              </w:rPr>
              <w:t>Forme</w:t>
            </w:r>
          </w:p>
        </w:tc>
        <w:tc>
          <w:tcPr>
            <w:tcW w:w="6321" w:type="dxa"/>
            <w:gridSpan w:val="2"/>
            <w:shd w:val="clear" w:color="auto" w:fill="EEECE1" w:themeFill="background2"/>
            <w:vAlign w:val="center"/>
          </w:tcPr>
          <w:p w14:paraId="0DCF58D3" w14:textId="77777777" w:rsidR="001743AE" w:rsidRPr="005D575C" w:rsidRDefault="001743AE" w:rsidP="00BC399F">
            <w:pPr>
              <w:jc w:val="center"/>
              <w:rPr>
                <w:b/>
                <w:bCs/>
                <w:sz w:val="28"/>
                <w:szCs w:val="28"/>
              </w:rPr>
            </w:pPr>
            <w:r w:rsidRPr="005D575C">
              <w:rPr>
                <w:b/>
                <w:bCs/>
                <w:sz w:val="28"/>
                <w:szCs w:val="28"/>
              </w:rPr>
              <w:t>Fond</w:t>
            </w:r>
          </w:p>
        </w:tc>
      </w:tr>
      <w:tr w:rsidR="001743AE" w14:paraId="6B2CD6C5" w14:textId="77777777" w:rsidTr="00BC399F">
        <w:trPr>
          <w:trHeight w:val="567"/>
        </w:trPr>
        <w:tc>
          <w:tcPr>
            <w:tcW w:w="2547" w:type="dxa"/>
            <w:vMerge w:val="restart"/>
            <w:shd w:val="clear" w:color="auto" w:fill="00FE73"/>
            <w:vAlign w:val="center"/>
          </w:tcPr>
          <w:p w14:paraId="2094CE41" w14:textId="77777777" w:rsidR="001743AE" w:rsidRPr="005D575C" w:rsidRDefault="001743AE" w:rsidP="00BC399F">
            <w:pPr>
              <w:jc w:val="center"/>
              <w:rPr>
                <w:sz w:val="96"/>
                <w:szCs w:val="96"/>
              </w:rPr>
            </w:pPr>
            <w:r w:rsidRPr="005D575C">
              <w:rPr>
                <w:sz w:val="96"/>
                <w:szCs w:val="96"/>
              </w:rPr>
              <w:t>+</w:t>
            </w:r>
          </w:p>
          <w:p w14:paraId="07B954F4" w14:textId="77777777" w:rsidR="001743AE" w:rsidRPr="005D575C" w:rsidRDefault="001743AE" w:rsidP="00BC399F">
            <w:pPr>
              <w:jc w:val="center"/>
              <w:rPr>
                <w:b/>
                <w:bCs/>
              </w:rPr>
            </w:pPr>
            <w:r w:rsidRPr="005D575C">
              <w:rPr>
                <w:b/>
                <w:bCs/>
              </w:rPr>
              <w:t>Attribuer de 1 à 3 points selon la prestation de l’équipe</w:t>
            </w:r>
          </w:p>
        </w:tc>
        <w:tc>
          <w:tcPr>
            <w:tcW w:w="5386" w:type="dxa"/>
            <w:vAlign w:val="center"/>
          </w:tcPr>
          <w:p w14:paraId="6BFCD71A" w14:textId="77777777" w:rsidR="001743AE" w:rsidRDefault="001743AE" w:rsidP="00BC399F">
            <w:pPr>
              <w:jc w:val="both"/>
            </w:pPr>
            <w:r>
              <w:t>Clarté de l’expression</w:t>
            </w:r>
          </w:p>
        </w:tc>
        <w:tc>
          <w:tcPr>
            <w:tcW w:w="1134" w:type="dxa"/>
            <w:vAlign w:val="center"/>
          </w:tcPr>
          <w:p w14:paraId="5DD4DEB4" w14:textId="77777777" w:rsidR="001743AE" w:rsidRDefault="001743AE" w:rsidP="00BC399F">
            <w:pPr>
              <w:jc w:val="both"/>
            </w:pPr>
          </w:p>
        </w:tc>
        <w:tc>
          <w:tcPr>
            <w:tcW w:w="5245" w:type="dxa"/>
            <w:vAlign w:val="center"/>
          </w:tcPr>
          <w:p w14:paraId="4A708CB6" w14:textId="77777777" w:rsidR="001743AE" w:rsidRDefault="001743AE" w:rsidP="00BC399F">
            <w:pPr>
              <w:jc w:val="both"/>
            </w:pPr>
            <w:r>
              <w:t>Arguments en nombre suffisant</w:t>
            </w:r>
          </w:p>
        </w:tc>
        <w:tc>
          <w:tcPr>
            <w:tcW w:w="1076" w:type="dxa"/>
            <w:vAlign w:val="center"/>
          </w:tcPr>
          <w:p w14:paraId="5AD2FC7B" w14:textId="77777777" w:rsidR="001743AE" w:rsidRDefault="001743AE" w:rsidP="00BC399F"/>
        </w:tc>
      </w:tr>
      <w:tr w:rsidR="001743AE" w14:paraId="2DED2DF7" w14:textId="77777777" w:rsidTr="00BC399F">
        <w:trPr>
          <w:trHeight w:val="567"/>
        </w:trPr>
        <w:tc>
          <w:tcPr>
            <w:tcW w:w="2547" w:type="dxa"/>
            <w:vMerge/>
            <w:shd w:val="clear" w:color="auto" w:fill="00FE73"/>
            <w:vAlign w:val="center"/>
          </w:tcPr>
          <w:p w14:paraId="32382679" w14:textId="77777777" w:rsidR="001743AE" w:rsidRPr="005D575C" w:rsidRDefault="001743AE" w:rsidP="00BC399F">
            <w:pPr>
              <w:jc w:val="center"/>
              <w:rPr>
                <w:b/>
                <w:bCs/>
              </w:rPr>
            </w:pPr>
          </w:p>
        </w:tc>
        <w:tc>
          <w:tcPr>
            <w:tcW w:w="5386" w:type="dxa"/>
            <w:vAlign w:val="center"/>
          </w:tcPr>
          <w:p w14:paraId="2F28C0CE" w14:textId="77777777" w:rsidR="001743AE" w:rsidRDefault="001743AE" w:rsidP="00BC399F">
            <w:pPr>
              <w:jc w:val="both"/>
            </w:pPr>
            <w:r>
              <w:t>Capacité à écouter</w:t>
            </w:r>
          </w:p>
        </w:tc>
        <w:tc>
          <w:tcPr>
            <w:tcW w:w="1134" w:type="dxa"/>
            <w:vAlign w:val="center"/>
          </w:tcPr>
          <w:p w14:paraId="4979784D" w14:textId="77777777" w:rsidR="001743AE" w:rsidRDefault="001743AE" w:rsidP="00BC399F">
            <w:pPr>
              <w:jc w:val="both"/>
            </w:pPr>
          </w:p>
        </w:tc>
        <w:tc>
          <w:tcPr>
            <w:tcW w:w="5245" w:type="dxa"/>
            <w:vAlign w:val="center"/>
          </w:tcPr>
          <w:p w14:paraId="5408F72A" w14:textId="77777777" w:rsidR="001743AE" w:rsidRDefault="001743AE" w:rsidP="00BC399F">
            <w:pPr>
              <w:jc w:val="both"/>
            </w:pPr>
            <w:r>
              <w:t>Qualité des arguments (maitrise du vocabulaire, mobilisation des connaissances)</w:t>
            </w:r>
          </w:p>
        </w:tc>
        <w:tc>
          <w:tcPr>
            <w:tcW w:w="1076" w:type="dxa"/>
            <w:vAlign w:val="center"/>
          </w:tcPr>
          <w:p w14:paraId="76FEF440" w14:textId="77777777" w:rsidR="001743AE" w:rsidRDefault="001743AE" w:rsidP="00BC399F"/>
        </w:tc>
      </w:tr>
      <w:tr w:rsidR="001743AE" w14:paraId="7FF7DE28" w14:textId="77777777" w:rsidTr="00BC399F">
        <w:trPr>
          <w:trHeight w:val="567"/>
        </w:trPr>
        <w:tc>
          <w:tcPr>
            <w:tcW w:w="2547" w:type="dxa"/>
            <w:vMerge/>
            <w:shd w:val="clear" w:color="auto" w:fill="00FE73"/>
            <w:vAlign w:val="center"/>
          </w:tcPr>
          <w:p w14:paraId="7F093A2A" w14:textId="77777777" w:rsidR="001743AE" w:rsidRPr="005D575C" w:rsidRDefault="001743AE" w:rsidP="00BC399F">
            <w:pPr>
              <w:jc w:val="center"/>
              <w:rPr>
                <w:b/>
                <w:bCs/>
              </w:rPr>
            </w:pPr>
          </w:p>
        </w:tc>
        <w:tc>
          <w:tcPr>
            <w:tcW w:w="5386" w:type="dxa"/>
            <w:vAlign w:val="center"/>
          </w:tcPr>
          <w:p w14:paraId="20094A81" w14:textId="77777777" w:rsidR="001743AE" w:rsidRDefault="001743AE" w:rsidP="00BC399F">
            <w:pPr>
              <w:jc w:val="both"/>
            </w:pPr>
            <w:r>
              <w:t xml:space="preserve">Capacité à reprendre la parole </w:t>
            </w:r>
          </w:p>
        </w:tc>
        <w:tc>
          <w:tcPr>
            <w:tcW w:w="1134" w:type="dxa"/>
            <w:vAlign w:val="center"/>
          </w:tcPr>
          <w:p w14:paraId="1F7C0A69" w14:textId="77777777" w:rsidR="001743AE" w:rsidRDefault="001743AE" w:rsidP="00BC399F">
            <w:pPr>
              <w:jc w:val="both"/>
            </w:pPr>
          </w:p>
        </w:tc>
        <w:tc>
          <w:tcPr>
            <w:tcW w:w="5245" w:type="dxa"/>
            <w:vAlign w:val="center"/>
          </w:tcPr>
          <w:p w14:paraId="74A825EC" w14:textId="77777777" w:rsidR="001743AE" w:rsidRDefault="001743AE" w:rsidP="00BC399F">
            <w:pPr>
              <w:jc w:val="both"/>
            </w:pPr>
            <w:r>
              <w:t>Capacité à choisir le bon argument pour contre-argumenter</w:t>
            </w:r>
          </w:p>
        </w:tc>
        <w:tc>
          <w:tcPr>
            <w:tcW w:w="1076" w:type="dxa"/>
            <w:vAlign w:val="center"/>
          </w:tcPr>
          <w:p w14:paraId="71C3CF62" w14:textId="77777777" w:rsidR="001743AE" w:rsidRDefault="001743AE" w:rsidP="00BC399F"/>
        </w:tc>
      </w:tr>
      <w:tr w:rsidR="001743AE" w14:paraId="10561F11" w14:textId="77777777" w:rsidTr="00BC399F">
        <w:trPr>
          <w:trHeight w:val="567"/>
        </w:trPr>
        <w:tc>
          <w:tcPr>
            <w:tcW w:w="2547" w:type="dxa"/>
            <w:vMerge/>
            <w:shd w:val="clear" w:color="auto" w:fill="00FE73"/>
            <w:vAlign w:val="center"/>
          </w:tcPr>
          <w:p w14:paraId="63129299" w14:textId="77777777" w:rsidR="001743AE" w:rsidRPr="005D575C" w:rsidRDefault="001743AE" w:rsidP="00BC399F">
            <w:pPr>
              <w:jc w:val="center"/>
              <w:rPr>
                <w:b/>
                <w:bCs/>
              </w:rPr>
            </w:pPr>
          </w:p>
        </w:tc>
        <w:tc>
          <w:tcPr>
            <w:tcW w:w="5386" w:type="dxa"/>
            <w:vAlign w:val="center"/>
          </w:tcPr>
          <w:p w14:paraId="5A8EF157" w14:textId="77777777" w:rsidR="001743AE" w:rsidRDefault="001743AE" w:rsidP="00BC399F">
            <w:pPr>
              <w:jc w:val="both"/>
            </w:pPr>
            <w:r>
              <w:t>Capacité à convaincre (posture, ton, regard, gestes, …)</w:t>
            </w:r>
          </w:p>
        </w:tc>
        <w:tc>
          <w:tcPr>
            <w:tcW w:w="1134" w:type="dxa"/>
            <w:vAlign w:val="center"/>
          </w:tcPr>
          <w:p w14:paraId="38CD76D0" w14:textId="77777777" w:rsidR="001743AE" w:rsidRDefault="001743AE" w:rsidP="00BC399F">
            <w:pPr>
              <w:jc w:val="both"/>
            </w:pPr>
          </w:p>
        </w:tc>
        <w:tc>
          <w:tcPr>
            <w:tcW w:w="5245" w:type="dxa"/>
            <w:vAlign w:val="center"/>
          </w:tcPr>
          <w:p w14:paraId="3D53EC18" w14:textId="77777777" w:rsidR="001743AE" w:rsidRDefault="001743AE" w:rsidP="00BC399F">
            <w:pPr>
              <w:jc w:val="both"/>
            </w:pPr>
            <w:r>
              <w:t>Capacité à réorienter le débat</w:t>
            </w:r>
          </w:p>
        </w:tc>
        <w:tc>
          <w:tcPr>
            <w:tcW w:w="1076" w:type="dxa"/>
            <w:vAlign w:val="center"/>
          </w:tcPr>
          <w:p w14:paraId="57952916" w14:textId="77777777" w:rsidR="001743AE" w:rsidRDefault="001743AE" w:rsidP="00BC399F"/>
        </w:tc>
      </w:tr>
      <w:tr w:rsidR="001743AE" w14:paraId="5992D0C0" w14:textId="77777777" w:rsidTr="00BC399F">
        <w:trPr>
          <w:trHeight w:val="567"/>
        </w:trPr>
        <w:tc>
          <w:tcPr>
            <w:tcW w:w="2547" w:type="dxa"/>
            <w:vMerge/>
            <w:shd w:val="clear" w:color="auto" w:fill="00FE73"/>
            <w:vAlign w:val="center"/>
          </w:tcPr>
          <w:p w14:paraId="52F27C22" w14:textId="77777777" w:rsidR="001743AE" w:rsidRPr="005D575C" w:rsidRDefault="001743AE" w:rsidP="00BC399F">
            <w:pPr>
              <w:jc w:val="center"/>
              <w:rPr>
                <w:b/>
                <w:bCs/>
              </w:rPr>
            </w:pPr>
          </w:p>
        </w:tc>
        <w:tc>
          <w:tcPr>
            <w:tcW w:w="5386" w:type="dxa"/>
            <w:vAlign w:val="center"/>
          </w:tcPr>
          <w:p w14:paraId="3B90FD97" w14:textId="77777777" w:rsidR="001743AE" w:rsidRDefault="001743AE" w:rsidP="00BC399F">
            <w:pPr>
              <w:jc w:val="both"/>
            </w:pPr>
            <w:r>
              <w:t>Temps morts demandés au bon moment</w:t>
            </w:r>
          </w:p>
        </w:tc>
        <w:tc>
          <w:tcPr>
            <w:tcW w:w="1134" w:type="dxa"/>
            <w:vAlign w:val="center"/>
          </w:tcPr>
          <w:p w14:paraId="445D7082" w14:textId="77777777" w:rsidR="001743AE" w:rsidRDefault="001743AE" w:rsidP="00BC399F">
            <w:pPr>
              <w:jc w:val="both"/>
            </w:pPr>
          </w:p>
        </w:tc>
        <w:tc>
          <w:tcPr>
            <w:tcW w:w="5245" w:type="dxa"/>
            <w:vMerge w:val="restart"/>
            <w:vAlign w:val="center"/>
          </w:tcPr>
          <w:p w14:paraId="4FB1FF38" w14:textId="77777777" w:rsidR="001743AE" w:rsidRDefault="001743AE" w:rsidP="00BC399F">
            <w:pPr>
              <w:jc w:val="right"/>
            </w:pPr>
            <w:r w:rsidRPr="005D575C">
              <w:rPr>
                <w:b/>
                <w:bCs/>
              </w:rPr>
              <w:t>Sous total C :</w:t>
            </w:r>
          </w:p>
        </w:tc>
        <w:tc>
          <w:tcPr>
            <w:tcW w:w="1076" w:type="dxa"/>
            <w:vMerge w:val="restart"/>
            <w:vAlign w:val="center"/>
          </w:tcPr>
          <w:p w14:paraId="7A98F8EF" w14:textId="77777777" w:rsidR="001743AE" w:rsidRDefault="001743AE" w:rsidP="00BC399F"/>
        </w:tc>
      </w:tr>
      <w:tr w:rsidR="001743AE" w14:paraId="75E04232" w14:textId="77777777" w:rsidTr="00BC399F">
        <w:trPr>
          <w:trHeight w:val="740"/>
        </w:trPr>
        <w:tc>
          <w:tcPr>
            <w:tcW w:w="2547" w:type="dxa"/>
            <w:vMerge/>
            <w:tcBorders>
              <w:bottom w:val="single" w:sz="4" w:space="0" w:color="auto"/>
            </w:tcBorders>
            <w:shd w:val="clear" w:color="auto" w:fill="00FE73"/>
            <w:vAlign w:val="center"/>
          </w:tcPr>
          <w:p w14:paraId="705F2D30" w14:textId="77777777" w:rsidR="001743AE" w:rsidRPr="005D575C" w:rsidRDefault="001743AE" w:rsidP="00BC399F">
            <w:pPr>
              <w:jc w:val="center"/>
              <w:rPr>
                <w:b/>
                <w:bCs/>
              </w:rPr>
            </w:pPr>
          </w:p>
        </w:tc>
        <w:tc>
          <w:tcPr>
            <w:tcW w:w="5386" w:type="dxa"/>
            <w:vAlign w:val="center"/>
          </w:tcPr>
          <w:p w14:paraId="0E5589AB" w14:textId="77777777" w:rsidR="001743AE" w:rsidRPr="005D575C" w:rsidRDefault="001743AE" w:rsidP="00BC399F">
            <w:pPr>
              <w:jc w:val="right"/>
              <w:rPr>
                <w:b/>
                <w:bCs/>
              </w:rPr>
            </w:pPr>
            <w:r w:rsidRPr="005D575C">
              <w:rPr>
                <w:b/>
                <w:bCs/>
              </w:rPr>
              <w:t xml:space="preserve">Sous total A : </w:t>
            </w:r>
          </w:p>
        </w:tc>
        <w:tc>
          <w:tcPr>
            <w:tcW w:w="1134" w:type="dxa"/>
            <w:vAlign w:val="center"/>
          </w:tcPr>
          <w:p w14:paraId="028F2916" w14:textId="77777777" w:rsidR="001743AE" w:rsidRPr="005D575C" w:rsidRDefault="001743AE" w:rsidP="00BC399F">
            <w:pPr>
              <w:jc w:val="both"/>
              <w:rPr>
                <w:b/>
                <w:bCs/>
              </w:rPr>
            </w:pPr>
          </w:p>
        </w:tc>
        <w:tc>
          <w:tcPr>
            <w:tcW w:w="5245" w:type="dxa"/>
            <w:vMerge/>
            <w:vAlign w:val="center"/>
          </w:tcPr>
          <w:p w14:paraId="4927DACD" w14:textId="77777777" w:rsidR="001743AE" w:rsidRPr="005D575C" w:rsidRDefault="001743AE" w:rsidP="00BC399F">
            <w:pPr>
              <w:jc w:val="right"/>
              <w:rPr>
                <w:b/>
                <w:bCs/>
              </w:rPr>
            </w:pPr>
          </w:p>
        </w:tc>
        <w:tc>
          <w:tcPr>
            <w:tcW w:w="1076" w:type="dxa"/>
            <w:vMerge/>
            <w:vAlign w:val="center"/>
          </w:tcPr>
          <w:p w14:paraId="1901D1F4" w14:textId="77777777" w:rsidR="001743AE" w:rsidRDefault="001743AE" w:rsidP="00BC399F"/>
        </w:tc>
      </w:tr>
      <w:tr w:rsidR="001743AE" w14:paraId="7C3EFF25" w14:textId="77777777" w:rsidTr="00BC399F">
        <w:trPr>
          <w:trHeight w:val="567"/>
        </w:trPr>
        <w:tc>
          <w:tcPr>
            <w:tcW w:w="2547" w:type="dxa"/>
            <w:vMerge w:val="restart"/>
            <w:shd w:val="clear" w:color="auto" w:fill="FF4B4B"/>
            <w:vAlign w:val="center"/>
          </w:tcPr>
          <w:p w14:paraId="37588016" w14:textId="77777777" w:rsidR="001743AE" w:rsidRPr="005D575C" w:rsidRDefault="001743AE" w:rsidP="00BC399F">
            <w:pPr>
              <w:jc w:val="center"/>
              <w:rPr>
                <w:sz w:val="96"/>
                <w:szCs w:val="96"/>
              </w:rPr>
            </w:pPr>
            <w:r w:rsidRPr="005D575C">
              <w:rPr>
                <w:sz w:val="96"/>
                <w:szCs w:val="96"/>
              </w:rPr>
              <w:t>-</w:t>
            </w:r>
          </w:p>
          <w:p w14:paraId="593692A6" w14:textId="77777777" w:rsidR="001743AE" w:rsidRPr="005D575C" w:rsidRDefault="001743AE" w:rsidP="00BC399F">
            <w:pPr>
              <w:jc w:val="center"/>
              <w:rPr>
                <w:b/>
                <w:bCs/>
              </w:rPr>
            </w:pPr>
            <w:r w:rsidRPr="005D575C">
              <w:rPr>
                <w:b/>
                <w:bCs/>
              </w:rPr>
              <w:t>Retrancher de 1 à 3 points selon la prestation de l’équipe</w:t>
            </w:r>
          </w:p>
        </w:tc>
        <w:tc>
          <w:tcPr>
            <w:tcW w:w="5386" w:type="dxa"/>
            <w:vAlign w:val="center"/>
          </w:tcPr>
          <w:p w14:paraId="1DA4CF29" w14:textId="77777777" w:rsidR="001743AE" w:rsidRDefault="001743AE" w:rsidP="00BC399F">
            <w:pPr>
              <w:jc w:val="both"/>
            </w:pPr>
            <w:r>
              <w:t>Couper la parole</w:t>
            </w:r>
          </w:p>
        </w:tc>
        <w:tc>
          <w:tcPr>
            <w:tcW w:w="1134" w:type="dxa"/>
            <w:vAlign w:val="center"/>
          </w:tcPr>
          <w:p w14:paraId="56AC1E1A" w14:textId="77777777" w:rsidR="001743AE" w:rsidRDefault="001743AE" w:rsidP="00BC399F">
            <w:pPr>
              <w:jc w:val="both"/>
            </w:pPr>
            <w:r>
              <w:t xml:space="preserve">- </w:t>
            </w:r>
          </w:p>
        </w:tc>
        <w:tc>
          <w:tcPr>
            <w:tcW w:w="5245" w:type="dxa"/>
            <w:vAlign w:val="center"/>
          </w:tcPr>
          <w:p w14:paraId="240BACDB" w14:textId="77777777" w:rsidR="001743AE" w:rsidRDefault="001743AE" w:rsidP="00BC399F">
            <w:pPr>
              <w:jc w:val="both"/>
            </w:pPr>
            <w:r>
              <w:t xml:space="preserve">Manque d’arguments </w:t>
            </w:r>
          </w:p>
        </w:tc>
        <w:tc>
          <w:tcPr>
            <w:tcW w:w="1076" w:type="dxa"/>
            <w:vAlign w:val="center"/>
          </w:tcPr>
          <w:p w14:paraId="6EF30620" w14:textId="77777777" w:rsidR="001743AE" w:rsidRDefault="001743AE" w:rsidP="00BC399F">
            <w:r>
              <w:t xml:space="preserve">- </w:t>
            </w:r>
          </w:p>
        </w:tc>
      </w:tr>
      <w:tr w:rsidR="001743AE" w14:paraId="70019235" w14:textId="77777777" w:rsidTr="00BC399F">
        <w:trPr>
          <w:trHeight w:val="567"/>
        </w:trPr>
        <w:tc>
          <w:tcPr>
            <w:tcW w:w="2547" w:type="dxa"/>
            <w:vMerge/>
            <w:shd w:val="clear" w:color="auto" w:fill="FF4B4B"/>
            <w:vAlign w:val="center"/>
          </w:tcPr>
          <w:p w14:paraId="17CF22A8" w14:textId="77777777" w:rsidR="001743AE" w:rsidRDefault="001743AE" w:rsidP="00BC399F"/>
        </w:tc>
        <w:tc>
          <w:tcPr>
            <w:tcW w:w="5386" w:type="dxa"/>
            <w:vAlign w:val="center"/>
          </w:tcPr>
          <w:p w14:paraId="00715662" w14:textId="77777777" w:rsidR="001743AE" w:rsidRDefault="001743AE" w:rsidP="00BC399F">
            <w:pPr>
              <w:jc w:val="both"/>
            </w:pPr>
            <w:r>
              <w:t>Rester en retrait</w:t>
            </w:r>
          </w:p>
        </w:tc>
        <w:tc>
          <w:tcPr>
            <w:tcW w:w="1134" w:type="dxa"/>
            <w:vAlign w:val="center"/>
          </w:tcPr>
          <w:p w14:paraId="170BAECB" w14:textId="77777777" w:rsidR="001743AE" w:rsidRDefault="001743AE" w:rsidP="00BC399F">
            <w:pPr>
              <w:jc w:val="both"/>
            </w:pPr>
            <w:r>
              <w:t xml:space="preserve">- </w:t>
            </w:r>
          </w:p>
        </w:tc>
        <w:tc>
          <w:tcPr>
            <w:tcW w:w="5245" w:type="dxa"/>
            <w:vAlign w:val="center"/>
          </w:tcPr>
          <w:p w14:paraId="363D5646" w14:textId="77777777" w:rsidR="001743AE" w:rsidRDefault="001743AE" w:rsidP="00BC399F">
            <w:pPr>
              <w:jc w:val="both"/>
            </w:pPr>
            <w:r>
              <w:t>Affirmations gratuites (sans preuve)</w:t>
            </w:r>
          </w:p>
        </w:tc>
        <w:tc>
          <w:tcPr>
            <w:tcW w:w="1076" w:type="dxa"/>
            <w:vAlign w:val="center"/>
          </w:tcPr>
          <w:p w14:paraId="6A238711" w14:textId="77777777" w:rsidR="001743AE" w:rsidRDefault="001743AE" w:rsidP="00BC399F">
            <w:r>
              <w:t xml:space="preserve">- </w:t>
            </w:r>
          </w:p>
        </w:tc>
      </w:tr>
      <w:tr w:rsidR="001743AE" w14:paraId="3267AD6E" w14:textId="77777777" w:rsidTr="00BC399F">
        <w:trPr>
          <w:trHeight w:val="567"/>
        </w:trPr>
        <w:tc>
          <w:tcPr>
            <w:tcW w:w="2547" w:type="dxa"/>
            <w:vMerge/>
            <w:shd w:val="clear" w:color="auto" w:fill="FF4B4B"/>
            <w:vAlign w:val="center"/>
          </w:tcPr>
          <w:p w14:paraId="0752DED6" w14:textId="77777777" w:rsidR="001743AE" w:rsidRDefault="001743AE" w:rsidP="00BC399F"/>
        </w:tc>
        <w:tc>
          <w:tcPr>
            <w:tcW w:w="5386" w:type="dxa"/>
            <w:vAlign w:val="center"/>
          </w:tcPr>
          <w:p w14:paraId="113B7AA8" w14:textId="77777777" w:rsidR="001743AE" w:rsidRDefault="001743AE" w:rsidP="00BC399F">
            <w:pPr>
              <w:jc w:val="both"/>
            </w:pPr>
            <w:r>
              <w:t>Monopoliser la parole</w:t>
            </w:r>
          </w:p>
        </w:tc>
        <w:tc>
          <w:tcPr>
            <w:tcW w:w="1134" w:type="dxa"/>
            <w:vAlign w:val="center"/>
          </w:tcPr>
          <w:p w14:paraId="31DD3A60" w14:textId="77777777" w:rsidR="001743AE" w:rsidRDefault="001743AE" w:rsidP="00BC399F">
            <w:pPr>
              <w:jc w:val="both"/>
            </w:pPr>
            <w:r>
              <w:t xml:space="preserve">- </w:t>
            </w:r>
          </w:p>
        </w:tc>
        <w:tc>
          <w:tcPr>
            <w:tcW w:w="5245" w:type="dxa"/>
            <w:vAlign w:val="center"/>
          </w:tcPr>
          <w:p w14:paraId="0F154953" w14:textId="77777777" w:rsidR="001743AE" w:rsidRDefault="001743AE" w:rsidP="00BC399F">
            <w:pPr>
              <w:jc w:val="both"/>
            </w:pPr>
            <w:r>
              <w:t>Répétitions</w:t>
            </w:r>
          </w:p>
        </w:tc>
        <w:tc>
          <w:tcPr>
            <w:tcW w:w="1076" w:type="dxa"/>
            <w:vAlign w:val="center"/>
          </w:tcPr>
          <w:p w14:paraId="3EAA9D77" w14:textId="77777777" w:rsidR="001743AE" w:rsidRDefault="001743AE" w:rsidP="00BC399F">
            <w:r>
              <w:t xml:space="preserve">- </w:t>
            </w:r>
          </w:p>
        </w:tc>
      </w:tr>
      <w:tr w:rsidR="001743AE" w14:paraId="13134839" w14:textId="77777777" w:rsidTr="00BC399F">
        <w:trPr>
          <w:trHeight w:val="567"/>
        </w:trPr>
        <w:tc>
          <w:tcPr>
            <w:tcW w:w="2547" w:type="dxa"/>
            <w:vMerge/>
            <w:shd w:val="clear" w:color="auto" w:fill="FF4B4B"/>
            <w:vAlign w:val="center"/>
          </w:tcPr>
          <w:p w14:paraId="4E752E93" w14:textId="77777777" w:rsidR="001743AE" w:rsidRDefault="001743AE" w:rsidP="00BC399F"/>
        </w:tc>
        <w:tc>
          <w:tcPr>
            <w:tcW w:w="5386" w:type="dxa"/>
            <w:vAlign w:val="center"/>
          </w:tcPr>
          <w:p w14:paraId="0088A089" w14:textId="77777777" w:rsidR="001743AE" w:rsidRDefault="001743AE" w:rsidP="00BC399F">
            <w:pPr>
              <w:jc w:val="both"/>
            </w:pPr>
            <w:r>
              <w:t>Être impoli / grossier / agressif</w:t>
            </w:r>
          </w:p>
        </w:tc>
        <w:tc>
          <w:tcPr>
            <w:tcW w:w="1134" w:type="dxa"/>
            <w:vAlign w:val="center"/>
          </w:tcPr>
          <w:p w14:paraId="14836729" w14:textId="77777777" w:rsidR="001743AE" w:rsidRDefault="001743AE" w:rsidP="00BC399F">
            <w:pPr>
              <w:jc w:val="both"/>
            </w:pPr>
            <w:r>
              <w:t xml:space="preserve">- </w:t>
            </w:r>
          </w:p>
        </w:tc>
        <w:tc>
          <w:tcPr>
            <w:tcW w:w="5245" w:type="dxa"/>
            <w:vAlign w:val="center"/>
          </w:tcPr>
          <w:p w14:paraId="10195D00" w14:textId="77777777" w:rsidR="001743AE" w:rsidRDefault="001743AE" w:rsidP="00BC399F">
            <w:pPr>
              <w:jc w:val="both"/>
            </w:pPr>
            <w:r>
              <w:t>Contradictions / erreurs</w:t>
            </w:r>
          </w:p>
        </w:tc>
        <w:tc>
          <w:tcPr>
            <w:tcW w:w="1076" w:type="dxa"/>
            <w:vAlign w:val="center"/>
          </w:tcPr>
          <w:p w14:paraId="38118475" w14:textId="77777777" w:rsidR="001743AE" w:rsidRDefault="001743AE" w:rsidP="00BC399F">
            <w:r>
              <w:t xml:space="preserve">- </w:t>
            </w:r>
          </w:p>
        </w:tc>
      </w:tr>
      <w:tr w:rsidR="001743AE" w14:paraId="3E019B2E" w14:textId="77777777" w:rsidTr="00BC399F">
        <w:trPr>
          <w:trHeight w:val="567"/>
        </w:trPr>
        <w:tc>
          <w:tcPr>
            <w:tcW w:w="2547" w:type="dxa"/>
            <w:vMerge/>
            <w:shd w:val="clear" w:color="auto" w:fill="FF4B4B"/>
            <w:vAlign w:val="center"/>
          </w:tcPr>
          <w:p w14:paraId="65C6680E" w14:textId="77777777" w:rsidR="001743AE" w:rsidRDefault="001743AE" w:rsidP="00BC399F"/>
        </w:tc>
        <w:tc>
          <w:tcPr>
            <w:tcW w:w="5386" w:type="dxa"/>
            <w:vAlign w:val="center"/>
          </w:tcPr>
          <w:p w14:paraId="0792C784" w14:textId="77777777" w:rsidR="001743AE" w:rsidRDefault="001743AE" w:rsidP="00BC399F">
            <w:pPr>
              <w:jc w:val="both"/>
            </w:pPr>
            <w:r>
              <w:t>Les coéquipiers parlent pendant les rounds</w:t>
            </w:r>
          </w:p>
        </w:tc>
        <w:tc>
          <w:tcPr>
            <w:tcW w:w="1134" w:type="dxa"/>
            <w:vAlign w:val="center"/>
          </w:tcPr>
          <w:p w14:paraId="24FCD20B" w14:textId="77777777" w:rsidR="001743AE" w:rsidRDefault="001743AE" w:rsidP="00BC399F">
            <w:pPr>
              <w:jc w:val="both"/>
            </w:pPr>
            <w:r>
              <w:t xml:space="preserve">- </w:t>
            </w:r>
          </w:p>
        </w:tc>
        <w:tc>
          <w:tcPr>
            <w:tcW w:w="5245" w:type="dxa"/>
            <w:vAlign w:val="center"/>
          </w:tcPr>
          <w:p w14:paraId="1212C797" w14:textId="77777777" w:rsidR="001743AE" w:rsidRDefault="001743AE" w:rsidP="00BC399F">
            <w:pPr>
              <w:jc w:val="both"/>
            </w:pPr>
            <w:r>
              <w:t>Propos hors sujet</w:t>
            </w:r>
          </w:p>
        </w:tc>
        <w:tc>
          <w:tcPr>
            <w:tcW w:w="1076" w:type="dxa"/>
            <w:vAlign w:val="center"/>
          </w:tcPr>
          <w:p w14:paraId="757FAC4A" w14:textId="77777777" w:rsidR="001743AE" w:rsidRDefault="001743AE" w:rsidP="00BC399F">
            <w:r>
              <w:t xml:space="preserve">- </w:t>
            </w:r>
          </w:p>
        </w:tc>
      </w:tr>
      <w:tr w:rsidR="001743AE" w14:paraId="291198FC" w14:textId="77777777" w:rsidTr="00BC399F">
        <w:trPr>
          <w:trHeight w:val="817"/>
        </w:trPr>
        <w:tc>
          <w:tcPr>
            <w:tcW w:w="2547" w:type="dxa"/>
            <w:vMerge/>
            <w:shd w:val="clear" w:color="auto" w:fill="FF4B4B"/>
            <w:vAlign w:val="center"/>
          </w:tcPr>
          <w:p w14:paraId="5EAAF6C5" w14:textId="77777777" w:rsidR="001743AE" w:rsidRDefault="001743AE" w:rsidP="00BC399F"/>
        </w:tc>
        <w:tc>
          <w:tcPr>
            <w:tcW w:w="5386" w:type="dxa"/>
            <w:vAlign w:val="center"/>
          </w:tcPr>
          <w:p w14:paraId="5FC9D335" w14:textId="77777777" w:rsidR="001743AE" w:rsidRPr="005D575C" w:rsidRDefault="001743AE" w:rsidP="00BC399F">
            <w:pPr>
              <w:jc w:val="right"/>
              <w:rPr>
                <w:b/>
                <w:bCs/>
              </w:rPr>
            </w:pPr>
            <w:r w:rsidRPr="005D575C">
              <w:rPr>
                <w:b/>
                <w:bCs/>
              </w:rPr>
              <w:t>Sous total B :</w:t>
            </w:r>
          </w:p>
        </w:tc>
        <w:tc>
          <w:tcPr>
            <w:tcW w:w="1134" w:type="dxa"/>
            <w:vAlign w:val="center"/>
          </w:tcPr>
          <w:p w14:paraId="5CB88AD1" w14:textId="77777777" w:rsidR="001743AE" w:rsidRPr="005D575C" w:rsidRDefault="001743AE" w:rsidP="00BC399F">
            <w:pPr>
              <w:jc w:val="both"/>
              <w:rPr>
                <w:b/>
                <w:bCs/>
              </w:rPr>
            </w:pPr>
            <w:r w:rsidRPr="005D575C">
              <w:rPr>
                <w:b/>
                <w:bCs/>
              </w:rPr>
              <w:t xml:space="preserve">- </w:t>
            </w:r>
          </w:p>
        </w:tc>
        <w:tc>
          <w:tcPr>
            <w:tcW w:w="5245" w:type="dxa"/>
            <w:vAlign w:val="center"/>
          </w:tcPr>
          <w:p w14:paraId="2EB269B7" w14:textId="77777777" w:rsidR="001743AE" w:rsidRPr="005D575C" w:rsidRDefault="001743AE" w:rsidP="00BC399F">
            <w:pPr>
              <w:jc w:val="right"/>
              <w:rPr>
                <w:b/>
                <w:bCs/>
              </w:rPr>
            </w:pPr>
            <w:r w:rsidRPr="005D575C">
              <w:rPr>
                <w:b/>
                <w:bCs/>
              </w:rPr>
              <w:t>Sous total D :</w:t>
            </w:r>
          </w:p>
        </w:tc>
        <w:tc>
          <w:tcPr>
            <w:tcW w:w="1076" w:type="dxa"/>
            <w:vAlign w:val="center"/>
          </w:tcPr>
          <w:p w14:paraId="0D8E59A4" w14:textId="77777777" w:rsidR="001743AE" w:rsidRDefault="001743AE" w:rsidP="00BC399F">
            <w:r>
              <w:t xml:space="preserve">- </w:t>
            </w:r>
          </w:p>
        </w:tc>
      </w:tr>
      <w:tr w:rsidR="001743AE" w14:paraId="25C15F90" w14:textId="77777777" w:rsidTr="001743AE">
        <w:trPr>
          <w:trHeight w:val="1438"/>
        </w:trPr>
        <w:tc>
          <w:tcPr>
            <w:tcW w:w="14312" w:type="dxa"/>
            <w:gridSpan w:val="4"/>
            <w:shd w:val="clear" w:color="auto" w:fill="EEECE1" w:themeFill="background2"/>
            <w:vAlign w:val="center"/>
          </w:tcPr>
          <w:p w14:paraId="2326BC10" w14:textId="77777777" w:rsidR="001743AE" w:rsidRPr="005D575C" w:rsidRDefault="001743AE" w:rsidP="00BC399F">
            <w:pPr>
              <w:jc w:val="right"/>
              <w:rPr>
                <w:b/>
                <w:bCs/>
                <w:sz w:val="28"/>
                <w:szCs w:val="28"/>
              </w:rPr>
            </w:pPr>
            <w:r w:rsidRPr="005D575C">
              <w:rPr>
                <w:b/>
                <w:bCs/>
                <w:sz w:val="28"/>
                <w:szCs w:val="28"/>
              </w:rPr>
              <w:t xml:space="preserve">Total des points obtenus (A+B+C+D) : </w:t>
            </w:r>
          </w:p>
        </w:tc>
        <w:tc>
          <w:tcPr>
            <w:tcW w:w="1076" w:type="dxa"/>
            <w:shd w:val="clear" w:color="auto" w:fill="EEECE1" w:themeFill="background2"/>
            <w:vAlign w:val="center"/>
          </w:tcPr>
          <w:p w14:paraId="2009745A" w14:textId="77777777" w:rsidR="001743AE" w:rsidRPr="005D575C" w:rsidRDefault="001743AE" w:rsidP="00BC399F">
            <w:pPr>
              <w:rPr>
                <w:b/>
                <w:bCs/>
              </w:rPr>
            </w:pPr>
          </w:p>
        </w:tc>
      </w:tr>
    </w:tbl>
    <w:p w14:paraId="4D84FD28" w14:textId="77777777" w:rsidR="001743AE" w:rsidRPr="003D5096" w:rsidRDefault="001743AE" w:rsidP="001743AE">
      <w:pPr>
        <w:tabs>
          <w:tab w:val="left" w:pos="426"/>
        </w:tabs>
        <w:spacing w:after="0"/>
        <w:jc w:val="both"/>
        <w:rPr>
          <w:rFonts w:cstheme="minorHAnsi"/>
          <w:bCs/>
          <w:sz w:val="20"/>
          <w:szCs w:val="20"/>
        </w:rPr>
      </w:pPr>
    </w:p>
    <w:sectPr w:rsidR="001743AE" w:rsidRPr="003D5096" w:rsidSect="001743AE">
      <w:pgSz w:w="16838" w:h="11906" w:orient="landscape"/>
      <w:pgMar w:top="720" w:right="720" w:bottom="720" w:left="72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Broadway">
    <w:panose1 w:val="04040905080B02020502"/>
    <w:charset w:val="00"/>
    <w:family w:val="decorativ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opperplate Gothic Bold">
    <w:panose1 w:val="020E07050202060204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50" type="#_x0000_t75" style="width:232.35pt;height:210.55pt;visibility:visible;mso-wrap-style:square" o:bullet="t">
        <v:imagedata r:id="rId1" o:title=""/>
      </v:shape>
    </w:pict>
  </w:numPicBullet>
  <w:abstractNum w:abstractNumId="0" w15:restartNumberingAfterBreak="0">
    <w:nsid w:val="14E12A3F"/>
    <w:multiLevelType w:val="hybridMultilevel"/>
    <w:tmpl w:val="5BAC3E9A"/>
    <w:lvl w:ilvl="0" w:tplc="9CFABA1C">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332A7ED9"/>
    <w:multiLevelType w:val="hybridMultilevel"/>
    <w:tmpl w:val="25DAA578"/>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15:restartNumberingAfterBreak="0">
    <w:nsid w:val="59C651FB"/>
    <w:multiLevelType w:val="hybridMultilevel"/>
    <w:tmpl w:val="8788F55A"/>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15:restartNumberingAfterBreak="0">
    <w:nsid w:val="72B67E9F"/>
    <w:multiLevelType w:val="hybridMultilevel"/>
    <w:tmpl w:val="577EF916"/>
    <w:lvl w:ilvl="0" w:tplc="783E73BC">
      <w:start w:val="1"/>
      <w:numFmt w:val="decimal"/>
      <w:lvlText w:val="%1."/>
      <w:lvlJc w:val="left"/>
      <w:pPr>
        <w:ind w:left="720" w:hanging="360"/>
      </w:pPr>
      <w:rPr>
        <w:rFonts w:ascii="Broadway" w:hAnsi="Broadway" w:hint="default"/>
        <w:b/>
        <w:sz w:val="36"/>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16cid:durableId="1661738419">
    <w:abstractNumId w:val="3"/>
  </w:num>
  <w:num w:numId="2" w16cid:durableId="967317503">
    <w:abstractNumId w:val="1"/>
  </w:num>
  <w:num w:numId="3" w16cid:durableId="343098330">
    <w:abstractNumId w:val="2"/>
  </w:num>
  <w:num w:numId="4" w16cid:durableId="27094343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proofState w:spelling="clean" w:grammar="clean"/>
  <w:defaultTabStop w:val="708"/>
  <w:hyphenationZone w:val="425"/>
  <w:drawingGridHorizontalSpacing w:val="110"/>
  <w:displayHorizontalDrawingGridEvery w:val="2"/>
  <w:characterSpacingControl w:val="doNotCompress"/>
  <w:compat>
    <w:compatSetting w:name="compatibilityMode" w:uri="http://schemas.microsoft.com/office/word" w:val="12"/>
    <w:compatSetting w:name="useWord2013TrackBottomHyphenation" w:uri="http://schemas.microsoft.com/office/word" w:val="1"/>
  </w:compat>
  <w:rsids>
    <w:rsidRoot w:val="00ED3C58"/>
    <w:rsid w:val="00011FB3"/>
    <w:rsid w:val="00130BF5"/>
    <w:rsid w:val="001743AE"/>
    <w:rsid w:val="00175403"/>
    <w:rsid w:val="001F726E"/>
    <w:rsid w:val="00203A62"/>
    <w:rsid w:val="00283E7C"/>
    <w:rsid w:val="002D0421"/>
    <w:rsid w:val="002E32D8"/>
    <w:rsid w:val="00335AF7"/>
    <w:rsid w:val="00343DF9"/>
    <w:rsid w:val="003458D2"/>
    <w:rsid w:val="003D3D69"/>
    <w:rsid w:val="003D5096"/>
    <w:rsid w:val="00472CBB"/>
    <w:rsid w:val="00510845"/>
    <w:rsid w:val="00581687"/>
    <w:rsid w:val="00656DD0"/>
    <w:rsid w:val="0073403F"/>
    <w:rsid w:val="007B35D4"/>
    <w:rsid w:val="007F7ABE"/>
    <w:rsid w:val="008A382E"/>
    <w:rsid w:val="00980396"/>
    <w:rsid w:val="00A1741D"/>
    <w:rsid w:val="00A91625"/>
    <w:rsid w:val="00AD2B26"/>
    <w:rsid w:val="00C928F3"/>
    <w:rsid w:val="00C929DA"/>
    <w:rsid w:val="00ED3C58"/>
    <w:rsid w:val="00EE3A61"/>
    <w:rsid w:val="00F15544"/>
    <w:rsid w:val="00F450BE"/>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36"/>
    <o:shapelayout v:ext="edit">
      <o:idmap v:ext="edit" data="1"/>
      <o:rules v:ext="edit">
        <o:r id="V:Rule3" type="connector" idref="#_x0000_s1031"/>
        <o:r id="V:Rule4" type="connector" idref="#_x0000_s1032"/>
      </o:rules>
    </o:shapelayout>
  </w:shapeDefaults>
  <w:decimalSymbol w:val=","/>
  <w:listSeparator w:val=";"/>
  <w14:docId w14:val="52DBAD67"/>
  <w15:docId w15:val="{1FA9BACC-827B-43EC-A194-EB7BA37A52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B35D4"/>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ED3C58"/>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ED3C58"/>
    <w:rPr>
      <w:rFonts w:ascii="Tahoma" w:hAnsi="Tahoma" w:cs="Tahoma"/>
      <w:sz w:val="16"/>
      <w:szCs w:val="16"/>
    </w:rPr>
  </w:style>
  <w:style w:type="paragraph" w:styleId="Paragraphedeliste">
    <w:name w:val="List Paragraph"/>
    <w:basedOn w:val="Normal"/>
    <w:uiPriority w:val="34"/>
    <w:qFormat/>
    <w:rsid w:val="00283E7C"/>
    <w:pPr>
      <w:ind w:left="720"/>
      <w:contextualSpacing/>
    </w:pPr>
  </w:style>
  <w:style w:type="table" w:styleId="Grilledutableau">
    <w:name w:val="Table Grid"/>
    <w:basedOn w:val="TableauNormal"/>
    <w:uiPriority w:val="39"/>
    <w:rsid w:val="001F726E"/>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Lienhypertexte">
    <w:name w:val="Hyperlink"/>
    <w:basedOn w:val="Policepardfaut"/>
    <w:uiPriority w:val="99"/>
    <w:unhideWhenUsed/>
    <w:rsid w:val="008A382E"/>
    <w:rPr>
      <w:color w:val="0000FF" w:themeColor="hyperlink"/>
      <w:u w:val="single"/>
    </w:rPr>
  </w:style>
  <w:style w:type="character" w:styleId="Mentionnonrsolue">
    <w:name w:val="Unresolved Mention"/>
    <w:basedOn w:val="Policepardfaut"/>
    <w:uiPriority w:val="99"/>
    <w:semiHidden/>
    <w:unhideWhenUsed/>
    <w:rsid w:val="008A382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7802027">
      <w:bodyDiv w:val="1"/>
      <w:marLeft w:val="0"/>
      <w:marRight w:val="0"/>
      <w:marTop w:val="0"/>
      <w:marBottom w:val="0"/>
      <w:divBdr>
        <w:top w:val="none" w:sz="0" w:space="0" w:color="auto"/>
        <w:left w:val="none" w:sz="0" w:space="0" w:color="auto"/>
        <w:bottom w:val="none" w:sz="0" w:space="0" w:color="auto"/>
        <w:right w:val="none" w:sz="0" w:space="0" w:color="auto"/>
      </w:divBdr>
    </w:div>
    <w:div w:id="135222200">
      <w:bodyDiv w:val="1"/>
      <w:marLeft w:val="0"/>
      <w:marRight w:val="0"/>
      <w:marTop w:val="0"/>
      <w:marBottom w:val="0"/>
      <w:divBdr>
        <w:top w:val="none" w:sz="0" w:space="0" w:color="auto"/>
        <w:left w:val="none" w:sz="0" w:space="0" w:color="auto"/>
        <w:bottom w:val="none" w:sz="0" w:space="0" w:color="auto"/>
        <w:right w:val="none" w:sz="0" w:space="0" w:color="auto"/>
      </w:divBdr>
    </w:div>
    <w:div w:id="507983898">
      <w:bodyDiv w:val="1"/>
      <w:marLeft w:val="0"/>
      <w:marRight w:val="0"/>
      <w:marTop w:val="0"/>
      <w:marBottom w:val="0"/>
      <w:divBdr>
        <w:top w:val="none" w:sz="0" w:space="0" w:color="auto"/>
        <w:left w:val="none" w:sz="0" w:space="0" w:color="auto"/>
        <w:bottom w:val="none" w:sz="0" w:space="0" w:color="auto"/>
        <w:right w:val="none" w:sz="0" w:space="0" w:color="auto"/>
      </w:divBdr>
    </w:div>
    <w:div w:id="545023127">
      <w:bodyDiv w:val="1"/>
      <w:marLeft w:val="0"/>
      <w:marRight w:val="0"/>
      <w:marTop w:val="0"/>
      <w:marBottom w:val="0"/>
      <w:divBdr>
        <w:top w:val="none" w:sz="0" w:space="0" w:color="auto"/>
        <w:left w:val="none" w:sz="0" w:space="0" w:color="auto"/>
        <w:bottom w:val="none" w:sz="0" w:space="0" w:color="auto"/>
        <w:right w:val="none" w:sz="0" w:space="0" w:color="auto"/>
      </w:divBdr>
    </w:div>
    <w:div w:id="620963196">
      <w:bodyDiv w:val="1"/>
      <w:marLeft w:val="0"/>
      <w:marRight w:val="0"/>
      <w:marTop w:val="0"/>
      <w:marBottom w:val="0"/>
      <w:divBdr>
        <w:top w:val="none" w:sz="0" w:space="0" w:color="auto"/>
        <w:left w:val="none" w:sz="0" w:space="0" w:color="auto"/>
        <w:bottom w:val="none" w:sz="0" w:space="0" w:color="auto"/>
        <w:right w:val="none" w:sz="0" w:space="0" w:color="auto"/>
      </w:divBdr>
    </w:div>
    <w:div w:id="630400729">
      <w:bodyDiv w:val="1"/>
      <w:marLeft w:val="0"/>
      <w:marRight w:val="0"/>
      <w:marTop w:val="0"/>
      <w:marBottom w:val="0"/>
      <w:divBdr>
        <w:top w:val="none" w:sz="0" w:space="0" w:color="auto"/>
        <w:left w:val="none" w:sz="0" w:space="0" w:color="auto"/>
        <w:bottom w:val="none" w:sz="0" w:space="0" w:color="auto"/>
        <w:right w:val="none" w:sz="0" w:space="0" w:color="auto"/>
      </w:divBdr>
    </w:div>
    <w:div w:id="1083918787">
      <w:bodyDiv w:val="1"/>
      <w:marLeft w:val="0"/>
      <w:marRight w:val="0"/>
      <w:marTop w:val="0"/>
      <w:marBottom w:val="0"/>
      <w:divBdr>
        <w:top w:val="none" w:sz="0" w:space="0" w:color="auto"/>
        <w:left w:val="none" w:sz="0" w:space="0" w:color="auto"/>
        <w:bottom w:val="none" w:sz="0" w:space="0" w:color="auto"/>
        <w:right w:val="none" w:sz="0" w:space="0" w:color="auto"/>
      </w:divBdr>
    </w:div>
    <w:div w:id="1136491322">
      <w:bodyDiv w:val="1"/>
      <w:marLeft w:val="0"/>
      <w:marRight w:val="0"/>
      <w:marTop w:val="0"/>
      <w:marBottom w:val="0"/>
      <w:divBdr>
        <w:top w:val="none" w:sz="0" w:space="0" w:color="auto"/>
        <w:left w:val="none" w:sz="0" w:space="0" w:color="auto"/>
        <w:bottom w:val="none" w:sz="0" w:space="0" w:color="auto"/>
        <w:right w:val="none" w:sz="0" w:space="0" w:color="auto"/>
      </w:divBdr>
    </w:div>
    <w:div w:id="1197161560">
      <w:bodyDiv w:val="1"/>
      <w:marLeft w:val="0"/>
      <w:marRight w:val="0"/>
      <w:marTop w:val="0"/>
      <w:marBottom w:val="0"/>
      <w:divBdr>
        <w:top w:val="none" w:sz="0" w:space="0" w:color="auto"/>
        <w:left w:val="none" w:sz="0" w:space="0" w:color="auto"/>
        <w:bottom w:val="none" w:sz="0" w:space="0" w:color="auto"/>
        <w:right w:val="none" w:sz="0" w:space="0" w:color="auto"/>
      </w:divBdr>
    </w:div>
    <w:div w:id="1609853675">
      <w:bodyDiv w:val="1"/>
      <w:marLeft w:val="0"/>
      <w:marRight w:val="0"/>
      <w:marTop w:val="0"/>
      <w:marBottom w:val="0"/>
      <w:divBdr>
        <w:top w:val="none" w:sz="0" w:space="0" w:color="auto"/>
        <w:left w:val="none" w:sz="0" w:space="0" w:color="auto"/>
        <w:bottom w:val="none" w:sz="0" w:space="0" w:color="auto"/>
        <w:right w:val="none" w:sz="0" w:space="0" w:color="auto"/>
      </w:divBdr>
    </w:div>
    <w:div w:id="1771509406">
      <w:bodyDiv w:val="1"/>
      <w:marLeft w:val="0"/>
      <w:marRight w:val="0"/>
      <w:marTop w:val="0"/>
      <w:marBottom w:val="0"/>
      <w:divBdr>
        <w:top w:val="none" w:sz="0" w:space="0" w:color="auto"/>
        <w:left w:val="none" w:sz="0" w:space="0" w:color="auto"/>
        <w:bottom w:val="none" w:sz="0" w:space="0" w:color="auto"/>
        <w:right w:val="none" w:sz="0" w:space="0" w:color="auto"/>
      </w:divBdr>
    </w:div>
    <w:div w:id="18110938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hyperlink" Target="http://www.touteleurope.eu" TargetMode="External"/><Relationship Id="rId5" Type="http://schemas.openxmlformats.org/officeDocument/2006/relationships/image" Target="media/image1.png"/><Relationship Id="rId10" Type="http://schemas.openxmlformats.org/officeDocument/2006/relationships/image" Target="media/image6.jpeg"/><Relationship Id="rId4" Type="http://schemas.openxmlformats.org/officeDocument/2006/relationships/webSettings" Target="webSettings.xml"/><Relationship Id="rId9" Type="http://schemas.openxmlformats.org/officeDocument/2006/relationships/image" Target="media/image5.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300</TotalTime>
  <Pages>5</Pages>
  <Words>1484</Words>
  <Characters>8167</Characters>
  <Application>Microsoft Office Word</Application>
  <DocSecurity>0</DocSecurity>
  <Lines>68</Lines>
  <Paragraphs>19</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9632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Amélie Goy Guibert</dc:creator>
  <cp:lastModifiedBy>Amélie Goy Guibert</cp:lastModifiedBy>
  <cp:revision>12</cp:revision>
  <dcterms:created xsi:type="dcterms:W3CDTF">2024-07-03T07:01:00Z</dcterms:created>
  <dcterms:modified xsi:type="dcterms:W3CDTF">2024-11-22T14:47:00Z</dcterms:modified>
</cp:coreProperties>
</file>