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CE4E3" w14:textId="45D7BD7E" w:rsidR="00895A49" w:rsidRPr="00375D83" w:rsidRDefault="00375D83" w:rsidP="00375D83">
      <w:pPr>
        <w:jc w:val="center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t xml:space="preserve">Point méthode - </w:t>
      </w:r>
      <w:r w:rsidR="00184422" w:rsidRPr="00375D83">
        <w:rPr>
          <w:b/>
          <w:bCs/>
          <w:sz w:val="32"/>
          <w:szCs w:val="30"/>
        </w:rPr>
        <w:t>La fiche d’arrêt</w:t>
      </w:r>
    </w:p>
    <w:p w14:paraId="23CDCAB4" w14:textId="77777777" w:rsidR="00184422" w:rsidRDefault="00184422"/>
    <w:p w14:paraId="21DCF262" w14:textId="23240303" w:rsidR="00184422" w:rsidRDefault="00184422" w:rsidP="00375D83">
      <w:pPr>
        <w:ind w:firstLine="708"/>
      </w:pPr>
      <w:r>
        <w:t xml:space="preserve">L’objectif de cet outil est de saisir le sens d’un arrêt afin de pouvoir par la suite, réaliser un commentaire d’arrêt. </w:t>
      </w:r>
      <w:r w:rsidR="004C3665">
        <w:t xml:space="preserve">En </w:t>
      </w:r>
      <w:proofErr w:type="spellStart"/>
      <w:r w:rsidR="004C3665">
        <w:t>géénral</w:t>
      </w:r>
      <w:proofErr w:type="spellEnd"/>
      <w:r w:rsidR="004C3665">
        <w:t>, les commentaires d’arrêts portent sur des arrêts de la Cour de cassation. Il est à noter que l</w:t>
      </w:r>
      <w:r w:rsidR="004C3665">
        <w:t xml:space="preserve">a </w:t>
      </w:r>
      <w:r w:rsidR="004C3665" w:rsidRPr="004C3665">
        <w:t xml:space="preserve">Cour de cassation se prononce uniquement sur la procédure </w:t>
      </w:r>
      <w:r w:rsidR="004C3665">
        <w:t xml:space="preserve">et la manière dont on a interprété la loi et </w:t>
      </w:r>
      <w:r w:rsidR="004C3665" w:rsidRPr="004C3665">
        <w:t xml:space="preserve">non pas </w:t>
      </w:r>
      <w:r w:rsidR="004C3665">
        <w:t xml:space="preserve">sur </w:t>
      </w:r>
      <w:r w:rsidR="004C3665" w:rsidRPr="004C3665">
        <w:t xml:space="preserve">les faits. </w:t>
      </w:r>
      <w:r>
        <w:t xml:space="preserve">Il faut donc expliquer l’arrêt en suivant un ordre logique. </w:t>
      </w:r>
    </w:p>
    <w:p w14:paraId="043C7E42" w14:textId="77777777" w:rsidR="00184422" w:rsidRDefault="00184422"/>
    <w:p w14:paraId="4A5C0729" w14:textId="19F7A4CE" w:rsidR="00184422" w:rsidRPr="00184422" w:rsidRDefault="00184422" w:rsidP="00184422">
      <w:pPr>
        <w:pBdr>
          <w:top w:val="single" w:sz="4" w:space="1" w:color="auto"/>
        </w:pBdr>
        <w:rPr>
          <w:u w:val="single"/>
        </w:rPr>
      </w:pPr>
      <w:r w:rsidRPr="00184422">
        <w:rPr>
          <w:u w:val="single"/>
        </w:rPr>
        <w:t xml:space="preserve">Point vocabulaire : </w:t>
      </w:r>
    </w:p>
    <w:p w14:paraId="05281C39" w14:textId="31AE4BA6" w:rsidR="00184422" w:rsidRDefault="00184422" w:rsidP="00184422">
      <w:pPr>
        <w:pStyle w:val="Paragraphedeliste"/>
        <w:numPr>
          <w:ilvl w:val="0"/>
          <w:numId w:val="1"/>
        </w:numPr>
      </w:pPr>
      <w:r w:rsidRPr="00184422">
        <w:rPr>
          <w:b/>
          <w:bCs/>
        </w:rPr>
        <w:t>Un arrêt</w:t>
      </w:r>
      <w:r>
        <w:t> : il s’agit d’une décision de justice rendue par une cour d’appel ou la Cour de cassation.</w:t>
      </w:r>
    </w:p>
    <w:p w14:paraId="5B694774" w14:textId="4BEEC8D1" w:rsidR="00184422" w:rsidRDefault="00184422" w:rsidP="00184422">
      <w:pPr>
        <w:pStyle w:val="Paragraphedeliste"/>
        <w:numPr>
          <w:ilvl w:val="0"/>
          <w:numId w:val="1"/>
        </w:numPr>
      </w:pPr>
      <w:r w:rsidRPr="00184422">
        <w:rPr>
          <w:b/>
          <w:bCs/>
        </w:rPr>
        <w:t>Un jugement</w:t>
      </w:r>
      <w:r>
        <w:t xml:space="preserve"> : il s’agit d’une décision de justice rendue par un tribunal. </w:t>
      </w:r>
    </w:p>
    <w:p w14:paraId="3239990B" w14:textId="46F8C543" w:rsidR="00184422" w:rsidRDefault="00184422" w:rsidP="00184422">
      <w:pPr>
        <w:pStyle w:val="Paragraphedeliste"/>
        <w:numPr>
          <w:ilvl w:val="0"/>
          <w:numId w:val="1"/>
        </w:numPr>
      </w:pPr>
      <w:r w:rsidRPr="00184422">
        <w:rPr>
          <w:b/>
          <w:bCs/>
          <w:i/>
          <w:iCs/>
        </w:rPr>
        <w:t>« Attendu que »</w:t>
      </w:r>
      <w:r>
        <w:t xml:space="preserve"> : expression utilisée pour marquer les différentes étapes de l’arrêt. Il permet d’exprimer les constats que font les juges. </w:t>
      </w:r>
    </w:p>
    <w:p w14:paraId="37A104A2" w14:textId="03E8D773" w:rsidR="00184422" w:rsidRDefault="00184422" w:rsidP="00184422">
      <w:pPr>
        <w:pStyle w:val="Paragraphedeliste"/>
        <w:numPr>
          <w:ilvl w:val="0"/>
          <w:numId w:val="1"/>
        </w:numPr>
      </w:pPr>
      <w:r w:rsidRPr="00184422">
        <w:rPr>
          <w:b/>
          <w:bCs/>
          <w:i/>
          <w:iCs/>
        </w:rPr>
        <w:t>« Faire grief à l’arrêt »</w:t>
      </w:r>
      <w:r>
        <w:t xml:space="preserve"> : expression qui signifie « reprocher à l’arrêt » ou « critiquer l’arrêt ». </w:t>
      </w:r>
    </w:p>
    <w:p w14:paraId="4932A351" w14:textId="1BDE4CDF" w:rsidR="00184422" w:rsidRDefault="00184422" w:rsidP="00184422">
      <w:pPr>
        <w:pStyle w:val="Paragraphedeliste"/>
        <w:numPr>
          <w:ilvl w:val="0"/>
          <w:numId w:val="1"/>
        </w:numPr>
      </w:pPr>
      <w:r w:rsidRPr="00184422">
        <w:rPr>
          <w:b/>
          <w:bCs/>
        </w:rPr>
        <w:t>Pourvoi en cassation</w:t>
      </w:r>
      <w:r>
        <w:t xml:space="preserve"> : recours devant la Cour de cassation contre une décision rendue par une Cour d’appel donc, en dernier ressort. </w:t>
      </w:r>
    </w:p>
    <w:p w14:paraId="28B5B807" w14:textId="77777777" w:rsidR="00184422" w:rsidRDefault="00184422" w:rsidP="00184422">
      <w:pPr>
        <w:pBdr>
          <w:bottom w:val="single" w:sz="4" w:space="1" w:color="auto"/>
        </w:pBdr>
      </w:pPr>
    </w:p>
    <w:p w14:paraId="08F6E832" w14:textId="77777777" w:rsidR="00184422" w:rsidRDefault="00184422" w:rsidP="00184422"/>
    <w:p w14:paraId="255F6807" w14:textId="70D78E31" w:rsidR="00184422" w:rsidRDefault="004C3665" w:rsidP="00184422">
      <w:r>
        <w:t xml:space="preserve">Étapes : </w:t>
      </w:r>
    </w:p>
    <w:p w14:paraId="243C7DA2" w14:textId="77777777" w:rsidR="004C3665" w:rsidRDefault="004C3665" w:rsidP="00184422"/>
    <w:p w14:paraId="53C47B2D" w14:textId="5F9E7BB1" w:rsidR="004C3665" w:rsidRPr="004C3665" w:rsidRDefault="004C3665" w:rsidP="00184422">
      <w:pPr>
        <w:rPr>
          <w:b/>
          <w:bCs/>
        </w:rPr>
      </w:pPr>
      <w:r w:rsidRPr="004C3665">
        <w:rPr>
          <w:b/>
          <w:bCs/>
        </w:rPr>
        <w:t xml:space="preserve">1/ Le relevé des faits : </w:t>
      </w:r>
    </w:p>
    <w:p w14:paraId="29DDA9C0" w14:textId="5D93D346" w:rsidR="004C3665" w:rsidRDefault="004C3665" w:rsidP="00184422">
      <w:r>
        <w:t xml:space="preserve">Il s’agit ici de relever les éléments qui posent un </w:t>
      </w:r>
      <w:proofErr w:type="spellStart"/>
      <w:r>
        <w:t>probléme</w:t>
      </w:r>
      <w:proofErr w:type="spellEnd"/>
      <w:r>
        <w:t xml:space="preserve"> juridique. En général, ils sont spécifiés au début de l’arrêt. </w:t>
      </w:r>
    </w:p>
    <w:p w14:paraId="49C7BCC9" w14:textId="7C6A9B05" w:rsidR="004C3665" w:rsidRP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LIGHT OBLIQUE" w:hAnsi="AVENIR LIGHT OBLIQUE"/>
          <w:i/>
          <w:iCs/>
        </w:rPr>
      </w:pPr>
      <w:r>
        <w:rPr>
          <w:rFonts w:ascii="AVENIR LIGHT OBLIQUE" w:hAnsi="AVENIR LIGHT OBLIQUE"/>
          <w:i/>
          <w:iCs/>
        </w:rPr>
        <w:t xml:space="preserve">Dans cet exemple : </w:t>
      </w:r>
    </w:p>
    <w:p w14:paraId="7CB5954A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B4196F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0275F6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BDBE91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22E298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C8B24C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CF0C38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DBBE31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EE1079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BCAA8B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8BCA6C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E4C27B" w14:textId="77777777" w:rsidR="00375D83" w:rsidRDefault="00375D83" w:rsidP="00184422"/>
    <w:p w14:paraId="021BBEE4" w14:textId="1E24F9CC" w:rsidR="004C3665" w:rsidRPr="004C3665" w:rsidRDefault="004C3665" w:rsidP="00184422">
      <w:pPr>
        <w:rPr>
          <w:b/>
          <w:bCs/>
        </w:rPr>
      </w:pPr>
      <w:r w:rsidRPr="004C3665">
        <w:rPr>
          <w:b/>
          <w:bCs/>
        </w:rPr>
        <w:t xml:space="preserve">2/ La procédure : </w:t>
      </w:r>
    </w:p>
    <w:p w14:paraId="24B395A1" w14:textId="1A6E4F59" w:rsidR="004C3665" w:rsidRDefault="004C3665" w:rsidP="00184422">
      <w:r>
        <w:t xml:space="preserve">Il s’agit de relever quel est l’acte ou le jugement attaqué. Voici une schématisation la plus longue procédure possible (procédure menant jusqu’à la l’assemblée plénière de la Cour de cassation) : </w:t>
      </w:r>
    </w:p>
    <w:p w14:paraId="6A622F63" w14:textId="77777777" w:rsidR="004C3665" w:rsidRPr="004C3665" w:rsidRDefault="004C3665" w:rsidP="004C3665">
      <w:pPr>
        <w:rPr>
          <w:rFonts w:ascii="Avenir Book" w:hAnsi="Avenir Book"/>
          <w:b/>
        </w:rPr>
      </w:pPr>
      <w:r w:rsidRPr="004C3665">
        <w:rPr>
          <w:rFonts w:ascii="Avenir Book" w:eastAsia="Arial Unicode MS" w:hAnsi="Avenir Book" w:cs="Arial Unicode MS"/>
          <w:b/>
        </w:rPr>
        <w:t xml:space="preserve">Assignation </w:t>
      </w:r>
      <w:r w:rsidRPr="004C3665">
        <w:rPr>
          <w:rFonts w:ascii="Times New Roman" w:eastAsia="Arial Unicode MS" w:hAnsi="Times New Roman" w:cs="Times New Roman"/>
          <w:b/>
        </w:rPr>
        <w:t>→</w:t>
      </w:r>
      <w:r w:rsidRPr="004C3665">
        <w:rPr>
          <w:rFonts w:ascii="Avenir Book" w:eastAsia="Arial Unicode MS" w:hAnsi="Avenir Book" w:cs="Arial Unicode MS"/>
          <w:b/>
        </w:rPr>
        <w:t xml:space="preserve"> Jugement de première instance </w:t>
      </w:r>
      <w:r w:rsidRPr="004C3665">
        <w:rPr>
          <w:rFonts w:ascii="Times New Roman" w:eastAsia="Arial Unicode MS" w:hAnsi="Times New Roman" w:cs="Times New Roman"/>
          <w:b/>
        </w:rPr>
        <w:t>→</w:t>
      </w:r>
      <w:r w:rsidRPr="004C3665">
        <w:rPr>
          <w:rFonts w:ascii="Avenir Book" w:eastAsia="Arial Unicode MS" w:hAnsi="Avenir Book" w:cs="Arial Unicode MS"/>
          <w:b/>
        </w:rPr>
        <w:t xml:space="preserve"> appel interjeté par l’une des parties </w:t>
      </w:r>
      <w:r w:rsidRPr="004C3665">
        <w:rPr>
          <w:rFonts w:ascii="Times New Roman" w:eastAsia="Arial Unicode MS" w:hAnsi="Times New Roman" w:cs="Times New Roman"/>
          <w:b/>
        </w:rPr>
        <w:t>→</w:t>
      </w:r>
      <w:r w:rsidRPr="004C3665">
        <w:rPr>
          <w:rFonts w:ascii="Avenir Book" w:eastAsia="Arial Unicode MS" w:hAnsi="Avenir Book" w:cs="Arial Unicode MS"/>
          <w:b/>
        </w:rPr>
        <w:t xml:space="preserve"> arrêt d’appel (infirmatif/confirmatif) </w:t>
      </w:r>
      <w:r w:rsidRPr="004C3665">
        <w:rPr>
          <w:rFonts w:ascii="Times New Roman" w:eastAsia="Arial Unicode MS" w:hAnsi="Times New Roman" w:cs="Times New Roman"/>
          <w:b/>
        </w:rPr>
        <w:t>→</w:t>
      </w:r>
      <w:r w:rsidRPr="004C3665">
        <w:rPr>
          <w:rFonts w:ascii="Avenir Book" w:eastAsia="Arial Unicode MS" w:hAnsi="Avenir Book" w:cs="Arial Unicode MS"/>
          <w:b/>
        </w:rPr>
        <w:t xml:space="preserve"> Pourvoi formé par l’une des parties </w:t>
      </w:r>
      <w:r w:rsidRPr="004C3665">
        <w:rPr>
          <w:rFonts w:ascii="Times New Roman" w:eastAsia="Arial Unicode MS" w:hAnsi="Times New Roman" w:cs="Times New Roman"/>
          <w:b/>
        </w:rPr>
        <w:t>→</w:t>
      </w:r>
      <w:r w:rsidRPr="004C3665">
        <w:rPr>
          <w:rFonts w:ascii="Avenir Book" w:eastAsia="Arial Unicode MS" w:hAnsi="Avenir Book" w:cs="Arial Unicode MS"/>
          <w:b/>
        </w:rPr>
        <w:t xml:space="preserve"> Arrêt de Cassation </w:t>
      </w:r>
      <w:r w:rsidRPr="004C3665">
        <w:rPr>
          <w:rFonts w:ascii="Times New Roman" w:eastAsia="Arial Unicode MS" w:hAnsi="Times New Roman" w:cs="Times New Roman"/>
          <w:b/>
        </w:rPr>
        <w:t>→</w:t>
      </w:r>
      <w:r w:rsidRPr="004C3665">
        <w:rPr>
          <w:rFonts w:ascii="Avenir Book" w:eastAsia="Arial Unicode MS" w:hAnsi="Avenir Book" w:cs="Arial Unicode MS"/>
          <w:b/>
        </w:rPr>
        <w:t xml:space="preserve"> Renvoi </w:t>
      </w:r>
      <w:r w:rsidRPr="004C3665">
        <w:rPr>
          <w:rFonts w:ascii="Times New Roman" w:eastAsia="Arial Unicode MS" w:hAnsi="Times New Roman" w:cs="Times New Roman"/>
          <w:b/>
        </w:rPr>
        <w:t>→</w:t>
      </w:r>
      <w:r w:rsidRPr="004C3665">
        <w:rPr>
          <w:rFonts w:ascii="Avenir Book" w:eastAsia="Arial Unicode MS" w:hAnsi="Avenir Book" w:cs="Arial Unicode MS"/>
          <w:b/>
        </w:rPr>
        <w:t xml:space="preserve"> Arrêt d’appel </w:t>
      </w:r>
      <w:r w:rsidRPr="004C3665">
        <w:rPr>
          <w:rFonts w:ascii="Times New Roman" w:eastAsia="Arial Unicode MS" w:hAnsi="Times New Roman" w:cs="Times New Roman"/>
          <w:b/>
        </w:rPr>
        <w:t>→</w:t>
      </w:r>
      <w:r w:rsidRPr="004C3665">
        <w:rPr>
          <w:rFonts w:ascii="Avenir Book" w:eastAsia="Arial Unicode MS" w:hAnsi="Avenir Book" w:cs="Arial Unicode MS"/>
          <w:b/>
        </w:rPr>
        <w:t xml:space="preserve"> Pourvoi </w:t>
      </w:r>
      <w:r w:rsidRPr="004C3665">
        <w:rPr>
          <w:rFonts w:ascii="Times New Roman" w:eastAsia="Arial Unicode MS" w:hAnsi="Times New Roman" w:cs="Times New Roman"/>
          <w:b/>
        </w:rPr>
        <w:t>→</w:t>
      </w:r>
      <w:r w:rsidRPr="004C3665">
        <w:rPr>
          <w:rFonts w:ascii="Avenir Book" w:eastAsia="Arial Unicode MS" w:hAnsi="Avenir Book" w:cs="Arial Unicode MS"/>
          <w:b/>
        </w:rPr>
        <w:t xml:space="preserve"> Assemblée plénière de la Cour de cassation.</w:t>
      </w:r>
    </w:p>
    <w:p w14:paraId="0E7C9678" w14:textId="77777777" w:rsidR="00375D83" w:rsidRP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LIGHT OBLIQUE" w:hAnsi="AVENIR LIGHT OBLIQUE"/>
          <w:i/>
          <w:iCs/>
        </w:rPr>
      </w:pPr>
      <w:r>
        <w:rPr>
          <w:rFonts w:ascii="AVENIR LIGHT OBLIQUE" w:hAnsi="AVENIR LIGHT OBLIQUE"/>
          <w:i/>
          <w:iCs/>
        </w:rPr>
        <w:t xml:space="preserve">Dans cet exemple : </w:t>
      </w:r>
    </w:p>
    <w:p w14:paraId="5CA52068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D91311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19BB7B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3A4066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C581FD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18A757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D8AC0B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4CEA26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39A1B5" w14:textId="77777777" w:rsidR="004C3665" w:rsidRDefault="004C3665" w:rsidP="00184422"/>
    <w:p w14:paraId="584D7264" w14:textId="5D3133CC" w:rsidR="00375D83" w:rsidRPr="00375D83" w:rsidRDefault="00375D83" w:rsidP="00184422">
      <w:pPr>
        <w:rPr>
          <w:b/>
          <w:bCs/>
        </w:rPr>
      </w:pPr>
      <w:r w:rsidRPr="00375D83">
        <w:rPr>
          <w:b/>
          <w:bCs/>
        </w:rPr>
        <w:t xml:space="preserve">3/ Le pourvoi : </w:t>
      </w:r>
    </w:p>
    <w:p w14:paraId="7A06C494" w14:textId="50830DEF" w:rsidR="00375D83" w:rsidRDefault="00375D83" w:rsidP="00184422">
      <w:r>
        <w:t xml:space="preserve">Il s’agit des moyens qui visent à montrer que la cour d’appel s’est trompée. </w:t>
      </w:r>
    </w:p>
    <w:p w14:paraId="73BFB0EF" w14:textId="77777777" w:rsidR="00375D83" w:rsidRP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LIGHT OBLIQUE" w:hAnsi="AVENIR LIGHT OBLIQUE"/>
          <w:i/>
          <w:iCs/>
        </w:rPr>
      </w:pPr>
      <w:r>
        <w:rPr>
          <w:rFonts w:ascii="AVENIR LIGHT OBLIQUE" w:hAnsi="AVENIR LIGHT OBLIQUE"/>
          <w:i/>
          <w:iCs/>
        </w:rPr>
        <w:t xml:space="preserve">Dans cet exemple : </w:t>
      </w:r>
    </w:p>
    <w:p w14:paraId="1BF3A7DA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7B26BE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8A2AFB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9F9EA6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961A60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7EA713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DC4159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C3A4B7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92A87F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F614CB" w14:textId="77777777" w:rsidR="00375D83" w:rsidRDefault="00375D83" w:rsidP="00184422"/>
    <w:p w14:paraId="46778121" w14:textId="7841BA55" w:rsidR="00375D83" w:rsidRPr="00375D83" w:rsidRDefault="00375D83" w:rsidP="00184422">
      <w:pPr>
        <w:rPr>
          <w:b/>
          <w:bCs/>
        </w:rPr>
      </w:pPr>
      <w:r w:rsidRPr="00375D83">
        <w:rPr>
          <w:b/>
          <w:bCs/>
        </w:rPr>
        <w:t xml:space="preserve">4/ La problématique : </w:t>
      </w:r>
    </w:p>
    <w:p w14:paraId="7B56A1F7" w14:textId="3C8110F9" w:rsidR="00375D83" w:rsidRDefault="00375D83" w:rsidP="00184422">
      <w:r>
        <w:t xml:space="preserve">Il s’agit de la question à laquelle doit répondre la Cour. </w:t>
      </w:r>
    </w:p>
    <w:p w14:paraId="5AF5385C" w14:textId="77777777" w:rsidR="00375D83" w:rsidRP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LIGHT OBLIQUE" w:hAnsi="AVENIR LIGHT OBLIQUE"/>
          <w:i/>
          <w:iCs/>
        </w:rPr>
      </w:pPr>
      <w:r>
        <w:rPr>
          <w:rFonts w:ascii="AVENIR LIGHT OBLIQUE" w:hAnsi="AVENIR LIGHT OBLIQUE"/>
          <w:i/>
          <w:iCs/>
        </w:rPr>
        <w:t xml:space="preserve">Dans cet exemple : </w:t>
      </w:r>
    </w:p>
    <w:p w14:paraId="0C801544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BC7E23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3FD38A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A33245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095731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17F9C7" w14:textId="77777777" w:rsidR="00375D83" w:rsidRDefault="00375D83" w:rsidP="00184422"/>
    <w:p w14:paraId="7704B216" w14:textId="30E13B58" w:rsidR="00375D83" w:rsidRPr="00375D83" w:rsidRDefault="00375D83" w:rsidP="00184422">
      <w:pPr>
        <w:rPr>
          <w:b/>
          <w:bCs/>
        </w:rPr>
      </w:pPr>
      <w:r w:rsidRPr="00375D83">
        <w:rPr>
          <w:b/>
          <w:bCs/>
        </w:rPr>
        <w:t xml:space="preserve">5/ La solution : </w:t>
      </w:r>
    </w:p>
    <w:p w14:paraId="7C669102" w14:textId="79BA50B1" w:rsidR="00375D83" w:rsidRDefault="00375D83" w:rsidP="00184422">
      <w:r>
        <w:t xml:space="preserve">Il s’agit de la réponse de la Cour, ce qu’elle décide. </w:t>
      </w:r>
    </w:p>
    <w:p w14:paraId="7162B9E8" w14:textId="77777777" w:rsidR="00375D83" w:rsidRP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LIGHT OBLIQUE" w:hAnsi="AVENIR LIGHT OBLIQUE"/>
          <w:i/>
          <w:iCs/>
        </w:rPr>
      </w:pPr>
      <w:r>
        <w:rPr>
          <w:rFonts w:ascii="AVENIR LIGHT OBLIQUE" w:hAnsi="AVENIR LIGHT OBLIQUE"/>
          <w:i/>
          <w:iCs/>
        </w:rPr>
        <w:t xml:space="preserve">Dans cet exemple : </w:t>
      </w:r>
    </w:p>
    <w:p w14:paraId="7382E194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14E4F8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A1082F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C3EA49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836659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C68138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B2B96F" w14:textId="192444AB" w:rsidR="00375D83" w:rsidRPr="00375D83" w:rsidRDefault="00375D83" w:rsidP="00184422">
      <w:pPr>
        <w:rPr>
          <w:b/>
          <w:bCs/>
        </w:rPr>
      </w:pPr>
    </w:p>
    <w:p w14:paraId="7A24E969" w14:textId="79A35921" w:rsidR="00375D83" w:rsidRPr="00375D83" w:rsidRDefault="00375D83" w:rsidP="00184422">
      <w:pPr>
        <w:rPr>
          <w:b/>
          <w:bCs/>
        </w:rPr>
      </w:pPr>
      <w:r w:rsidRPr="00375D83">
        <w:rPr>
          <w:b/>
          <w:bCs/>
        </w:rPr>
        <w:t>6/ L</w:t>
      </w:r>
      <w:r w:rsidR="00A47F78">
        <w:rPr>
          <w:b/>
          <w:bCs/>
        </w:rPr>
        <w:t>e</w:t>
      </w:r>
      <w:r w:rsidRPr="00375D83">
        <w:rPr>
          <w:b/>
          <w:bCs/>
        </w:rPr>
        <w:t xml:space="preserve"> dispositif : </w:t>
      </w:r>
    </w:p>
    <w:p w14:paraId="0683AD24" w14:textId="15632DDD" w:rsidR="00375D83" w:rsidRDefault="00375D83" w:rsidP="00184422">
      <w:r>
        <w:t xml:space="preserve">Il s’agit de la manière dont la Cour propose de trancher le problème de droit. On le repère grâce à l’expression : « par ces motifs ». </w:t>
      </w:r>
    </w:p>
    <w:p w14:paraId="0C9D58E8" w14:textId="5D0E5458" w:rsidR="00375D83" w:rsidRDefault="00375D83" w:rsidP="00184422">
      <w:r>
        <w:t xml:space="preserve">La Cour de cassation peut : </w:t>
      </w:r>
    </w:p>
    <w:p w14:paraId="23743644" w14:textId="6B30D417" w:rsidR="00375D83" w:rsidRDefault="00375D83" w:rsidP="00375D83">
      <w:pPr>
        <w:pStyle w:val="Paragraphedeliste"/>
        <w:numPr>
          <w:ilvl w:val="0"/>
          <w:numId w:val="1"/>
        </w:numPr>
      </w:pPr>
      <w:r>
        <w:t xml:space="preserve">Casser et annuler la décision : la cour d’appel s’est trompée. Elle peut choisir de le faire avec renvoie (l’affaire va être renvoyée devant une autre Cour d’appel) ou non. </w:t>
      </w:r>
    </w:p>
    <w:p w14:paraId="76A876AA" w14:textId="250DC3E7" w:rsidR="00375D83" w:rsidRDefault="00375D83" w:rsidP="00375D83">
      <w:pPr>
        <w:pStyle w:val="Paragraphedeliste"/>
        <w:numPr>
          <w:ilvl w:val="0"/>
          <w:numId w:val="1"/>
        </w:numPr>
      </w:pPr>
      <w:r>
        <w:t xml:space="preserve">Rejeter le pourvoi : cela signifie qu’elle estime que le droit a été correctement appliqué. </w:t>
      </w:r>
    </w:p>
    <w:p w14:paraId="673D73B1" w14:textId="77777777" w:rsidR="00375D83" w:rsidRDefault="00375D83" w:rsidP="00375D83"/>
    <w:p w14:paraId="7A39AC08" w14:textId="77777777" w:rsidR="00375D83" w:rsidRP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LIGHT OBLIQUE" w:hAnsi="AVENIR LIGHT OBLIQUE"/>
          <w:i/>
          <w:iCs/>
        </w:rPr>
      </w:pPr>
      <w:r>
        <w:rPr>
          <w:rFonts w:ascii="AVENIR LIGHT OBLIQUE" w:hAnsi="AVENIR LIGHT OBLIQUE"/>
          <w:i/>
          <w:iCs/>
        </w:rPr>
        <w:t xml:space="preserve">Dans cet exemple : </w:t>
      </w:r>
    </w:p>
    <w:p w14:paraId="11899796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88FF86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BFB410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6B915E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B4AEE5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498DDE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D451DE" w14:textId="77777777" w:rsidR="00375D83" w:rsidRDefault="00375D83" w:rsidP="0037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8C738C" w14:textId="77777777" w:rsidR="00375D83" w:rsidRDefault="00375D83" w:rsidP="00375D83"/>
    <w:sectPr w:rsidR="00375D83" w:rsidSect="001844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LIGHT OBLIQUE">
    <w:panose1 w:val="020B040202020309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C76C3"/>
    <w:multiLevelType w:val="hybridMultilevel"/>
    <w:tmpl w:val="C1E8594C"/>
    <w:lvl w:ilvl="0" w:tplc="6AEC435A">
      <w:start w:val="1"/>
      <w:numFmt w:val="bullet"/>
      <w:lvlText w:val="-"/>
      <w:lvlJc w:val="left"/>
      <w:pPr>
        <w:ind w:left="720" w:hanging="360"/>
      </w:pPr>
      <w:rPr>
        <w:rFonts w:ascii="Avenir" w:eastAsiaTheme="minorHAnsi" w:hAnsi="Avenir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1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22"/>
    <w:rsid w:val="001464A0"/>
    <w:rsid w:val="00184422"/>
    <w:rsid w:val="00196A4F"/>
    <w:rsid w:val="00375D83"/>
    <w:rsid w:val="004C3665"/>
    <w:rsid w:val="0064106F"/>
    <w:rsid w:val="00895A49"/>
    <w:rsid w:val="008E53B9"/>
    <w:rsid w:val="00A47F78"/>
    <w:rsid w:val="00B3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D574CF"/>
  <w15:chartTrackingRefBased/>
  <w15:docId w15:val="{744A7E70-4763-5348-B663-96F0CCA5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" w:eastAsiaTheme="minorHAnsi" w:hAnsi="Avenir" w:cs="Times New Roman (Corps CS)"/>
        <w:kern w:val="2"/>
        <w:sz w:val="22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4A0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184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4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44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44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44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44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44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44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44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lgre">
    <w:name w:val="Subtle Reference"/>
    <w:aliases w:val="Source"/>
    <w:basedOn w:val="Policepardfaut"/>
    <w:uiPriority w:val="31"/>
    <w:qFormat/>
    <w:rsid w:val="001464A0"/>
    <w:rPr>
      <w:rFonts w:ascii="Verdana" w:hAnsi="Verdana"/>
      <w:smallCaps/>
      <w:color w:val="5A5A5A" w:themeColor="text1" w:themeTint="A5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184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4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44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44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44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44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44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44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44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44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4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44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44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44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44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44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44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4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44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4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Blomme</dc:creator>
  <cp:keywords/>
  <dc:description/>
  <cp:lastModifiedBy>Léa Blomme</cp:lastModifiedBy>
  <cp:revision>2</cp:revision>
  <cp:lastPrinted>2024-09-15T14:10:00Z</cp:lastPrinted>
  <dcterms:created xsi:type="dcterms:W3CDTF">2024-09-15T13:40:00Z</dcterms:created>
  <dcterms:modified xsi:type="dcterms:W3CDTF">2024-09-15T14:47:00Z</dcterms:modified>
</cp:coreProperties>
</file>